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30"/>
          <w:szCs w:val="30"/>
          <w:b w:val="1"/>
          <w:bCs w:val="1"/>
          <w:color w:val="auto"/>
        </w:rPr>
        <w:t>SECURITIES AND EXCHANGE COMMISSION</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48260</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82" w:lineRule="exact"/>
        <w:rPr>
          <w:sz w:val="24"/>
          <w:szCs w:val="24"/>
          <w:color w:val="auto"/>
        </w:rPr>
      </w:pPr>
    </w:p>
    <w:p>
      <w:pPr>
        <w:jc w:val="center"/>
        <w:ind w:right="40"/>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56515</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ANNUAL REPORT PURSUANT TO SECTION 13 OR 15(d) OF THE SECURITIES EXCHANGE ACT OF 1934</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4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58" w:lineRule="exact"/>
        <w:rPr>
          <w:sz w:val="24"/>
          <w:szCs w:val="24"/>
          <w:color w:val="auto"/>
        </w:rPr>
      </w:pPr>
    </w:p>
    <w:tbl>
      <w:tblPr>
        <w:tblLayout w:type="fixed"/>
        <w:tblInd w:w="414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b w:val="1"/>
                <w:bCs w:val="1"/>
                <w:color w:val="auto"/>
                <w:w w:val="93"/>
              </w:rPr>
              <w:t>For the transition period from</w:t>
            </w:r>
          </w:p>
        </w:tc>
        <w:tc>
          <w:tcPr>
            <w:tcW w:w="42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420" w:type="dxa"/>
            <w:vAlign w:val="bottom"/>
            <w:tcBorders>
              <w:bottom w:val="single" w:sz="8" w:color="auto"/>
            </w:tcBorders>
          </w:tcPr>
          <w:p>
            <w:pPr>
              <w:spacing w:after="0"/>
              <w:rPr>
                <w:sz w:val="16"/>
                <w:szCs w:val="16"/>
                <w:color w:val="auto"/>
              </w:rPr>
            </w:pPr>
          </w:p>
        </w:tc>
      </w:tr>
      <w:tr>
        <w:trPr>
          <w:trHeight w:val="258"/>
        </w:trPr>
        <w:tc>
          <w:tcPr>
            <w:tcW w:w="3160" w:type="dxa"/>
            <w:vAlign w:val="bottom"/>
            <w:gridSpan w:val="4"/>
          </w:tcPr>
          <w:p>
            <w:pPr>
              <w:ind w:left="320"/>
              <w:spacing w:after="0"/>
              <w:rPr>
                <w:sz w:val="20"/>
                <w:szCs w:val="20"/>
                <w:color w:val="auto"/>
              </w:rPr>
            </w:pPr>
            <w:r>
              <w:rPr>
                <w:rFonts w:ascii="Arial" w:cs="Arial" w:eastAsia="Arial" w:hAnsi="Arial"/>
                <w:sz w:val="16"/>
                <w:szCs w:val="16"/>
                <w:b w:val="1"/>
                <w:bCs w:val="1"/>
                <w:color w:val="auto"/>
              </w:rPr>
              <w:t>Commission file number: 001-37524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38100</wp:posOffset>
            </wp:positionV>
            <wp:extent cx="1551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52" w:lineRule="exact"/>
        <w:rPr>
          <w:sz w:val="24"/>
          <w:szCs w:val="24"/>
          <w:color w:val="auto"/>
        </w:rPr>
      </w:pPr>
    </w:p>
    <w:tbl>
      <w:tblPr>
        <w:tblLayout w:type="fixed"/>
        <w:tblInd w:w="1700" w:type="dxa"/>
        <w:tblCellMar>
          <w:top w:w="0" w:type="dxa"/>
          <w:left w:w="0" w:type="dxa"/>
          <w:bottom w:w="0" w:type="dxa"/>
          <w:right w:w="0" w:type="dxa"/>
        </w:tblCellMar>
      </w:tblPr>
      <w:tr>
        <w:trPr>
          <w:trHeight w:val="488"/>
        </w:trPr>
        <w:tc>
          <w:tcPr>
            <w:tcW w:w="6160" w:type="dxa"/>
            <w:vAlign w:val="bottom"/>
            <w:gridSpan w:val="3"/>
          </w:tcPr>
          <w:p>
            <w:pPr>
              <w:jc w:val="center"/>
              <w:ind w:left="1770"/>
              <w:spacing w:after="0"/>
              <w:rPr>
                <w:sz w:val="20"/>
                <w:szCs w:val="20"/>
                <w:color w:val="auto"/>
              </w:rPr>
            </w:pPr>
            <w:r>
              <w:rPr>
                <w:rFonts w:ascii="Arial" w:cs="Arial" w:eastAsia="Arial" w:hAnsi="Arial"/>
                <w:sz w:val="41"/>
                <w:szCs w:val="41"/>
                <w:b w:val="1"/>
                <w:bCs w:val="1"/>
                <w:color w:val="auto"/>
                <w:w w:val="91"/>
              </w:rPr>
              <w:t>vTv Therapeutics Inc.</w:t>
            </w:r>
          </w:p>
        </w:tc>
        <w:tc>
          <w:tcPr>
            <w:tcW w:w="1300" w:type="dxa"/>
            <w:vAlign w:val="bottom"/>
          </w:tcPr>
          <w:p>
            <w:pPr>
              <w:spacing w:after="0"/>
              <w:rPr>
                <w:sz w:val="24"/>
                <w:szCs w:val="24"/>
                <w:color w:val="auto"/>
              </w:rPr>
            </w:pPr>
          </w:p>
        </w:tc>
      </w:tr>
      <w:tr>
        <w:trPr>
          <w:trHeight w:val="210"/>
        </w:trPr>
        <w:tc>
          <w:tcPr>
            <w:tcW w:w="6160" w:type="dxa"/>
            <w:vAlign w:val="bottom"/>
            <w:gridSpan w:val="3"/>
          </w:tcPr>
          <w:p>
            <w:pPr>
              <w:jc w:val="center"/>
              <w:ind w:left="177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300" w:type="dxa"/>
            <w:vAlign w:val="bottom"/>
          </w:tcPr>
          <w:p>
            <w:pPr>
              <w:spacing w:after="0"/>
              <w:rPr>
                <w:sz w:val="18"/>
                <w:szCs w:val="18"/>
                <w:color w:val="auto"/>
              </w:rPr>
            </w:pPr>
          </w:p>
        </w:tc>
      </w:tr>
      <w:tr>
        <w:trPr>
          <w:trHeight w:val="60"/>
        </w:trPr>
        <w:tc>
          <w:tcPr>
            <w:tcW w:w="2800" w:type="dxa"/>
            <w:vAlign w:val="bottom"/>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24"/>
        </w:trPr>
        <w:tc>
          <w:tcPr>
            <w:tcW w:w="6160" w:type="dxa"/>
            <w:vAlign w:val="bottom"/>
            <w:gridSpan w:val="3"/>
          </w:tcPr>
          <w:p>
            <w:pPr>
              <w:jc w:val="center"/>
              <w:ind w:right="3940"/>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right"/>
              <w:ind w:right="67"/>
              <w:spacing w:after="0"/>
              <w:rPr>
                <w:sz w:val="20"/>
                <w:szCs w:val="20"/>
                <w:color w:val="auto"/>
              </w:rPr>
            </w:pPr>
            <w:r>
              <w:rPr>
                <w:rFonts w:ascii="Arial" w:cs="Arial" w:eastAsia="Arial" w:hAnsi="Arial"/>
                <w:sz w:val="16"/>
                <w:szCs w:val="16"/>
                <w:b w:val="1"/>
                <w:bCs w:val="1"/>
                <w:color w:val="auto"/>
              </w:rPr>
              <w:t>47-3916571</w:t>
            </w:r>
          </w:p>
        </w:tc>
      </w:tr>
      <w:tr>
        <w:trPr>
          <w:trHeight w:val="149"/>
        </w:trPr>
        <w:tc>
          <w:tcPr>
            <w:tcW w:w="6160" w:type="dxa"/>
            <w:vAlign w:val="bottom"/>
            <w:gridSpan w:val="3"/>
          </w:tcPr>
          <w:p>
            <w:pPr>
              <w:jc w:val="center"/>
              <w:ind w:right="39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300" w:type="dxa"/>
            <w:vAlign w:val="bottom"/>
          </w:tcPr>
          <w:p>
            <w:pPr>
              <w:jc w:val="center"/>
              <w:ind w:left="167"/>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16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67"/>
              <w:spacing w:after="0"/>
              <w:rPr>
                <w:sz w:val="20"/>
                <w:szCs w:val="20"/>
                <w:color w:val="auto"/>
              </w:rPr>
            </w:pPr>
            <w:r>
              <w:rPr>
                <w:rFonts w:ascii="Arial" w:cs="Arial" w:eastAsia="Arial" w:hAnsi="Arial"/>
                <w:sz w:val="14"/>
                <w:szCs w:val="14"/>
                <w:b w:val="1"/>
                <w:bCs w:val="1"/>
                <w:color w:val="auto"/>
                <w:w w:val="89"/>
              </w:rPr>
              <w:t>Identification No.)</w:t>
            </w:r>
          </w:p>
        </w:tc>
      </w:tr>
      <w:tr>
        <w:trPr>
          <w:trHeight w:val="216"/>
        </w:trPr>
        <w:tc>
          <w:tcPr>
            <w:tcW w:w="6160" w:type="dxa"/>
            <w:vAlign w:val="bottom"/>
            <w:gridSpan w:val="3"/>
          </w:tcPr>
          <w:p>
            <w:pPr>
              <w:jc w:val="center"/>
              <w:ind w:right="3940"/>
              <w:spacing w:after="0"/>
              <w:rPr>
                <w:sz w:val="20"/>
                <w:szCs w:val="20"/>
                <w:color w:val="auto"/>
              </w:rPr>
            </w:pPr>
            <w:r>
              <w:rPr>
                <w:rFonts w:ascii="Arial" w:cs="Arial" w:eastAsia="Arial" w:hAnsi="Arial"/>
                <w:sz w:val="16"/>
                <w:szCs w:val="16"/>
                <w:b w:val="1"/>
                <w:bCs w:val="1"/>
                <w:color w:val="auto"/>
                <w:w w:val="92"/>
              </w:rPr>
              <w:t>3980 Premier Dr, Suite 310</w:t>
            </w:r>
          </w:p>
        </w:tc>
        <w:tc>
          <w:tcPr>
            <w:tcW w:w="1300" w:type="dxa"/>
            <w:vAlign w:val="bottom"/>
          </w:tcPr>
          <w:p>
            <w:pPr>
              <w:spacing w:after="0"/>
              <w:rPr>
                <w:sz w:val="18"/>
                <w:szCs w:val="18"/>
                <w:color w:val="auto"/>
              </w:rPr>
            </w:pPr>
          </w:p>
        </w:tc>
      </w:tr>
      <w:tr>
        <w:trPr>
          <w:trHeight w:val="204"/>
        </w:trPr>
        <w:tc>
          <w:tcPr>
            <w:tcW w:w="6160" w:type="dxa"/>
            <w:vAlign w:val="bottom"/>
            <w:gridSpan w:val="3"/>
          </w:tcPr>
          <w:p>
            <w:pPr>
              <w:jc w:val="center"/>
              <w:ind w:right="3940"/>
              <w:spacing w:after="0"/>
              <w:rPr>
                <w:sz w:val="20"/>
                <w:szCs w:val="20"/>
                <w:color w:val="auto"/>
              </w:rPr>
            </w:pPr>
            <w:r>
              <w:rPr>
                <w:rFonts w:ascii="Arial" w:cs="Arial" w:eastAsia="Arial" w:hAnsi="Arial"/>
                <w:sz w:val="16"/>
                <w:szCs w:val="16"/>
                <w:b w:val="1"/>
                <w:bCs w:val="1"/>
                <w:color w:val="auto"/>
                <w:w w:val="94"/>
              </w:rPr>
              <w:t>High Point, NC</w:t>
            </w:r>
          </w:p>
        </w:tc>
        <w:tc>
          <w:tcPr>
            <w:tcW w:w="1300" w:type="dxa"/>
            <w:vAlign w:val="bottom"/>
          </w:tcPr>
          <w:p>
            <w:pPr>
              <w:jc w:val="right"/>
              <w:ind w:right="267"/>
              <w:spacing w:after="0"/>
              <w:rPr>
                <w:sz w:val="20"/>
                <w:szCs w:val="20"/>
                <w:color w:val="auto"/>
              </w:rPr>
            </w:pPr>
            <w:r>
              <w:rPr>
                <w:rFonts w:ascii="Arial" w:cs="Arial" w:eastAsia="Arial" w:hAnsi="Arial"/>
                <w:sz w:val="16"/>
                <w:szCs w:val="16"/>
                <w:b w:val="1"/>
                <w:bCs w:val="1"/>
                <w:color w:val="auto"/>
              </w:rPr>
              <w:t>27265</w:t>
            </w:r>
          </w:p>
        </w:tc>
      </w:tr>
      <w:tr>
        <w:trPr>
          <w:trHeight w:val="174"/>
        </w:trPr>
        <w:tc>
          <w:tcPr>
            <w:tcW w:w="616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300" w:type="dxa"/>
            <w:vAlign w:val="bottom"/>
          </w:tcPr>
          <w:p>
            <w:pPr>
              <w:jc w:val="center"/>
              <w:ind w:left="167"/>
              <w:spacing w:after="0"/>
              <w:rPr>
                <w:sz w:val="20"/>
                <w:szCs w:val="20"/>
                <w:color w:val="auto"/>
              </w:rPr>
            </w:pPr>
            <w:r>
              <w:rPr>
                <w:rFonts w:ascii="Arial" w:cs="Arial" w:eastAsia="Arial" w:hAnsi="Arial"/>
                <w:sz w:val="14"/>
                <w:szCs w:val="14"/>
                <w:b w:val="1"/>
                <w:bCs w:val="1"/>
                <w:color w:val="auto"/>
                <w:w w:val="89"/>
              </w:rPr>
              <w:t>(Zip Code)</w:t>
            </w:r>
          </w:p>
        </w:tc>
      </w:tr>
      <w:tr>
        <w:trPr>
          <w:trHeight w:val="223"/>
        </w:trPr>
        <w:tc>
          <w:tcPr>
            <w:tcW w:w="5240" w:type="dxa"/>
            <w:vAlign w:val="bottom"/>
            <w:gridSpan w:val="2"/>
          </w:tcPr>
          <w:p>
            <w:pPr>
              <w:jc w:val="center"/>
              <w:ind w:left="2690"/>
              <w:spacing w:after="0"/>
              <w:rPr>
                <w:sz w:val="20"/>
                <w:szCs w:val="20"/>
                <w:color w:val="auto"/>
              </w:rPr>
            </w:pPr>
            <w:r>
              <w:rPr>
                <w:rFonts w:ascii="Arial" w:cs="Arial" w:eastAsia="Arial" w:hAnsi="Arial"/>
                <w:sz w:val="16"/>
                <w:szCs w:val="16"/>
                <w:b w:val="1"/>
                <w:bCs w:val="1"/>
                <w:color w:val="auto"/>
                <w:w w:val="93"/>
              </w:rPr>
              <w:t>(336) 841-0300</w:t>
            </w: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Title of each</w:t>
            </w:r>
          </w:p>
        </w:tc>
        <w:tc>
          <w:tcPr>
            <w:tcW w:w="38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Trading Symbol</w:t>
            </w:r>
          </w:p>
        </w:tc>
        <w:tc>
          <w:tcPr>
            <w:tcW w:w="364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71"/>
        </w:trPr>
        <w:tc>
          <w:tcPr>
            <w:tcW w:w="3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Class</w:t>
            </w:r>
          </w:p>
        </w:tc>
        <w:tc>
          <w:tcPr>
            <w:tcW w:w="38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jc w:val="center"/>
              <w:ind w:right="1108"/>
              <w:spacing w:after="0"/>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200"/>
        </w:trPr>
        <w:tc>
          <w:tcPr>
            <w:tcW w:w="39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1"/>
              </w:rPr>
              <w:t>Class A Common Stock (Par Value $0.01)</w:t>
            </w:r>
          </w:p>
        </w:tc>
        <w:tc>
          <w:tcPr>
            <w:tcW w:w="60" w:type="dxa"/>
            <w:vAlign w:val="bottom"/>
          </w:tcPr>
          <w:p>
            <w:pPr>
              <w:spacing w:after="0"/>
              <w:rPr>
                <w:sz w:val="17"/>
                <w:szCs w:val="17"/>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VTVT</w:t>
            </w: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gridSpan w:val="2"/>
          </w:tcPr>
          <w:p>
            <w:pPr>
              <w:jc w:val="center"/>
              <w:ind w:right="148"/>
              <w:spacing w:after="0"/>
              <w:rPr>
                <w:sz w:val="20"/>
                <w:szCs w:val="20"/>
                <w:color w:val="auto"/>
              </w:rPr>
            </w:pPr>
            <w:r>
              <w:rPr>
                <w:rFonts w:ascii="Arial" w:cs="Arial" w:eastAsia="Arial" w:hAnsi="Arial"/>
                <w:sz w:val="16"/>
                <w:szCs w:val="16"/>
                <w:color w:val="auto"/>
                <w:w w:val="97"/>
              </w:rPr>
              <w:t>NASDAQ Capital Market</w:t>
            </w:r>
          </w:p>
        </w:tc>
        <w:tc>
          <w:tcPr>
            <w:tcW w:w="0" w:type="dxa"/>
            <w:vAlign w:val="bottom"/>
          </w:tcPr>
          <w:p>
            <w:pPr>
              <w:spacing w:after="0"/>
              <w:rPr>
                <w:sz w:val="1"/>
                <w:szCs w:val="1"/>
                <w:color w:val="auto"/>
              </w:rPr>
            </w:pPr>
          </w:p>
        </w:tc>
      </w:tr>
      <w:tr>
        <w:trPr>
          <w:trHeight w:val="260"/>
        </w:trPr>
        <w:tc>
          <w:tcPr>
            <w:tcW w:w="1960" w:type="dxa"/>
            <w:vAlign w:val="bottom"/>
          </w:tcPr>
          <w:p>
            <w:pPr>
              <w:spacing w:after="0"/>
              <w:rPr>
                <w:sz w:val="22"/>
                <w:szCs w:val="22"/>
                <w:color w:val="auto"/>
              </w:rPr>
            </w:pPr>
          </w:p>
        </w:tc>
        <w:tc>
          <w:tcPr>
            <w:tcW w:w="5860" w:type="dxa"/>
            <w:vAlign w:val="bottom"/>
            <w:tcBorders>
              <w:bottom w:val="single" w:sz="8" w:color="auto"/>
            </w:tcBorders>
            <w:gridSpan w:val="5"/>
          </w:tcPr>
          <w:p>
            <w:pPr>
              <w:ind w:left="1240"/>
              <w:spacing w:after="0"/>
              <w:rPr>
                <w:sz w:val="20"/>
                <w:szCs w:val="20"/>
                <w:color w:val="auto"/>
              </w:rPr>
            </w:pPr>
            <w:r>
              <w:rPr>
                <w:rFonts w:ascii="Arial" w:cs="Arial" w:eastAsia="Arial" w:hAnsi="Arial"/>
                <w:sz w:val="16"/>
                <w:szCs w:val="16"/>
                <w:b w:val="1"/>
                <w:bCs w:val="1"/>
                <w:color w:val="auto"/>
                <w:w w:val="95"/>
              </w:rPr>
              <w:t>Securities registered pursuant to Section 12(g) of the Act: None</w:t>
            </w:r>
          </w:p>
        </w:tc>
        <w:tc>
          <w:tcPr>
            <w:tcW w:w="980" w:type="dxa"/>
            <w:vAlign w:val="bottom"/>
            <w:tcBorders>
              <w:bottom w:val="single" w:sz="8" w:color="auto"/>
            </w:tcBorders>
          </w:tcPr>
          <w:p>
            <w:pPr>
              <w:spacing w:after="0"/>
              <w:rPr>
                <w:sz w:val="22"/>
                <w:szCs w:val="22"/>
                <w:color w:val="auto"/>
              </w:rPr>
            </w:pP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20" w:type="dxa"/>
            <w:vAlign w:val="bottom"/>
            <w:gridSpan w:val="6"/>
          </w:tcPr>
          <w:p>
            <w:pPr>
              <w:ind w:left="520"/>
              <w:spacing w:after="0"/>
              <w:rPr>
                <w:sz w:val="20"/>
                <w:szCs w:val="20"/>
                <w:color w:val="auto"/>
              </w:rPr>
            </w:pPr>
            <w:r>
              <w:rPr>
                <w:rFonts w:ascii="Arial" w:cs="Arial" w:eastAsia="Arial" w:hAnsi="Arial"/>
                <w:sz w:val="16"/>
                <w:szCs w:val="16"/>
                <w:color w:val="auto"/>
                <w:w w:val="87"/>
              </w:rPr>
              <w:t>Indicate by check mark if the Registrant is a well-known seasoned issuer, as defined in Rule 405 of the Securities Act.</w:t>
            </w:r>
          </w:p>
        </w:tc>
        <w:tc>
          <w:tcPr>
            <w:tcW w:w="3640" w:type="dxa"/>
            <w:vAlign w:val="bottom"/>
            <w:gridSpan w:val="2"/>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left="520"/>
        <w:spacing w:after="0" w:line="184" w:lineRule="exact"/>
        <w:tabs>
          <w:tab w:leader="none" w:pos="8640" w:val="left"/>
          <w:tab w:leader="none" w:pos="924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64" w:lineRule="exact"/>
        <w:rPr>
          <w:sz w:val="24"/>
          <w:szCs w:val="24"/>
          <w:color w:val="auto"/>
        </w:rPr>
      </w:pPr>
    </w:p>
    <w:p>
      <w:pPr>
        <w:ind w:right="280" w:firstLine="509"/>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ind w:right="660" w:firstLine="509"/>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520" w:firstLine="509"/>
        <w:spacing w:after="0" w:line="3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76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76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800" w:type="dxa"/>
            <w:vAlign w:val="bottom"/>
          </w:tcPr>
          <w:p>
            <w:pPr>
              <w:spacing w:after="0"/>
              <w:rPr>
                <w:sz w:val="23"/>
                <w:szCs w:val="23"/>
                <w:color w:val="auto"/>
              </w:rPr>
            </w:pPr>
          </w:p>
        </w:tc>
      </w:tr>
    </w:tbl>
    <w:p>
      <w:pPr>
        <w:spacing w:after="0" w:line="19" w:lineRule="exact"/>
        <w:rPr>
          <w:sz w:val="24"/>
          <w:szCs w:val="24"/>
          <w:color w:val="auto"/>
        </w:rPr>
      </w:pPr>
    </w:p>
    <w:p>
      <w:pPr>
        <w:ind w:right="340" w:firstLine="463"/>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tabs>
          <w:tab w:leader="none" w:pos="7240" w:val="left"/>
          <w:tab w:leader="none" w:pos="7840" w:val="left"/>
        </w:tabs>
        <w:rPr>
          <w:sz w:val="20"/>
          <w:szCs w:val="20"/>
          <w:color w:val="auto"/>
        </w:rPr>
      </w:pPr>
      <w:r>
        <w:rPr>
          <w:rFonts w:ascii="Arial" w:cs="Arial" w:eastAsia="Arial" w:hAnsi="Arial"/>
          <w:sz w:val="15"/>
          <w:szCs w:val="15"/>
          <w:color w:val="auto"/>
        </w:rPr>
        <w:t>Indicate by check mark if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64" w:lineRule="exact"/>
        <w:rPr>
          <w:sz w:val="24"/>
          <w:szCs w:val="24"/>
          <w:color w:val="auto"/>
        </w:rPr>
      </w:pPr>
    </w:p>
    <w:p>
      <w:pPr>
        <w:ind w:right="200"/>
        <w:spacing w:after="0" w:line="290" w:lineRule="auto"/>
        <w:rPr>
          <w:sz w:val="20"/>
          <w:szCs w:val="20"/>
          <w:color w:val="auto"/>
        </w:rPr>
      </w:pPr>
      <w:r>
        <w:rPr>
          <w:rFonts w:ascii="Arial" w:cs="Arial" w:eastAsia="Arial" w:hAnsi="Arial"/>
          <w:sz w:val="16"/>
          <w:szCs w:val="16"/>
          <w:color w:val="auto"/>
        </w:rPr>
        <w:t>The aggregate market value of the registrant’s Common Stock held by non-affiliates on the last business day of the Registrant’s most recently completed second quarter, June 30, 2019, was $15,194,030 (based on the closing sale price as reported on the NASDAQ).</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February 20, 2020.</w:t>
      </w:r>
    </w:p>
    <w:p>
      <w:pPr>
        <w:sectPr>
          <w:pgSz w:w="11900" w:h="16838" w:orient="portrait"/>
          <w:cols w:equalWidth="0" w:num="1">
            <w:col w:w="11460"/>
          </w:cols>
          <w:pgMar w:left="240" w:top="611" w:right="199" w:bottom="1440" w:gutter="0" w:footer="0" w:header="0"/>
        </w:sectPr>
      </w:pPr>
    </w:p>
    <w:p>
      <w:pPr>
        <w:spacing w:after="0" w:line="127" w:lineRule="exact"/>
        <w:rPr>
          <w:sz w:val="24"/>
          <w:szCs w:val="24"/>
          <w:color w:val="auto"/>
        </w:rPr>
      </w:pPr>
    </w:p>
    <w:p>
      <w:pPr>
        <w:ind w:left="2160"/>
        <w:spacing w:after="0"/>
        <w:rPr>
          <w:sz w:val="20"/>
          <w:szCs w:val="20"/>
          <w:color w:val="auto"/>
        </w:rPr>
      </w:pPr>
      <w:r>
        <w:rPr>
          <w:rFonts w:ascii="Arial" w:cs="Arial" w:eastAsia="Arial" w:hAnsi="Arial"/>
          <w:sz w:val="16"/>
          <w:szCs w:val="16"/>
          <w:u w:val="single" w:color="auto"/>
          <w:color w:val="auto"/>
        </w:rPr>
        <w:t>Class of Stock</w:t>
      </w:r>
    </w:p>
    <w:p>
      <w:pPr>
        <w:spacing w:after="0" w:line="46" w:lineRule="exact"/>
        <w:rPr>
          <w:sz w:val="24"/>
          <w:szCs w:val="24"/>
          <w:color w:val="auto"/>
        </w:rPr>
      </w:pPr>
    </w:p>
    <w:p>
      <w:pPr>
        <w:ind w:left="2160"/>
        <w:spacing w:after="0"/>
        <w:rPr>
          <w:sz w:val="20"/>
          <w:szCs w:val="20"/>
          <w:color w:val="auto"/>
        </w:rPr>
      </w:pPr>
      <w:r>
        <w:rPr>
          <w:rFonts w:ascii="Arial" w:cs="Arial" w:eastAsia="Arial" w:hAnsi="Arial"/>
          <w:sz w:val="13"/>
          <w:szCs w:val="13"/>
          <w:color w:val="auto"/>
        </w:rPr>
        <w:t>Class A common stock, par value $0.01 per share</w:t>
      </w:r>
    </w:p>
    <w:p>
      <w:pPr>
        <w:spacing w:after="0" w:line="57" w:lineRule="exact"/>
        <w:rPr>
          <w:sz w:val="24"/>
          <w:szCs w:val="24"/>
          <w:color w:val="auto"/>
        </w:rPr>
      </w:pPr>
    </w:p>
    <w:p>
      <w:pPr>
        <w:ind w:left="2160"/>
        <w:spacing w:after="0"/>
        <w:rPr>
          <w:sz w:val="20"/>
          <w:szCs w:val="20"/>
          <w:color w:val="auto"/>
        </w:rPr>
      </w:pPr>
      <w:r>
        <w:rPr>
          <w:rFonts w:ascii="Arial" w:cs="Arial" w:eastAsia="Arial" w:hAnsi="Arial"/>
          <w:sz w:val="13"/>
          <w:szCs w:val="13"/>
          <w:color w:val="auto"/>
        </w:rPr>
        <w:t>Class B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342265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3"/>
          <w:szCs w:val="13"/>
          <w:u w:val="single" w:color="auto"/>
          <w:color w:val="auto"/>
        </w:rPr>
        <w:t>Shares Outstanding</w:t>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42,168,522</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23,094,221</w:t>
      </w:r>
    </w:p>
    <w:p>
      <w:pPr>
        <w:sectPr>
          <w:pgSz w:w="11900" w:h="16838" w:orient="portrait"/>
          <w:cols w:equalWidth="0" w:num="2">
            <w:col w:w="6600" w:space="720"/>
            <w:col w:w="4140"/>
          </w:cols>
          <w:pgMar w:left="240" w:top="611" w:right="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w w:val="99"/>
              </w:rPr>
              <w:t>vTv THERAPEUTICS INC. AND SUBSIDIARIES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20" w:type="dxa"/>
            <w:vAlign w:val="bottom"/>
            <w:gridSpan w:val="8"/>
          </w:tcPr>
          <w:p>
            <w:pPr>
              <w:jc w:val="center"/>
              <w:ind w:right="3260"/>
              <w:spacing w:after="0"/>
              <w:rPr>
                <w:sz w:val="20"/>
                <w:szCs w:val="20"/>
                <w:color w:val="auto"/>
              </w:rPr>
            </w:pPr>
            <w:r>
              <w:rPr>
                <w:rFonts w:ascii="Arial" w:cs="Arial" w:eastAsia="Arial" w:hAnsi="Arial"/>
                <w:sz w:val="18"/>
                <w:szCs w:val="18"/>
                <w:b w:val="1"/>
                <w:bCs w:val="1"/>
                <w:color w:val="auto"/>
              </w:rPr>
              <w:t>INDEX TO FORM 10-K</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gridSpan w:val="11"/>
          </w:tcPr>
          <w:p>
            <w:pPr>
              <w:jc w:val="center"/>
              <w:ind w:right="1980"/>
              <w:spacing w:after="0"/>
              <w:rPr>
                <w:sz w:val="20"/>
                <w:szCs w:val="20"/>
                <w:color w:val="auto"/>
              </w:rPr>
            </w:pPr>
            <w:r>
              <w:rPr>
                <w:rFonts w:ascii="Arial" w:cs="Arial" w:eastAsia="Arial" w:hAnsi="Arial"/>
                <w:sz w:val="18"/>
                <w:szCs w:val="18"/>
                <w:b w:val="1"/>
                <w:bCs w:val="1"/>
                <w:color w:val="auto"/>
                <w:w w:val="98"/>
              </w:rPr>
              <w:t>FOR THE FISCAL YEAR ENDED DECEMBER 31, 2019</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7"/>
        </w:trPr>
        <w:tc>
          <w:tcPr>
            <w:tcW w:w="760" w:type="dxa"/>
            <w:vAlign w:val="bottom"/>
            <w:gridSpan w:val="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69"/>
        </w:trPr>
        <w:tc>
          <w:tcPr>
            <w:tcW w:w="7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4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4"/>
              </w:rPr>
              <w:t>Item 1.</w:t>
            </w:r>
          </w:p>
        </w:tc>
        <w:tc>
          <w:tcPr>
            <w:tcW w:w="22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200" w:type="dxa"/>
            <w:vAlign w:val="bottom"/>
            <w:gridSpan w:val="19"/>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8940" w:type="dxa"/>
            <w:vAlign w:val="bottom"/>
            <w:gridSpan w:val="17"/>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Unresolved Staff Comments</w:t>
              </w:r>
            </w:hyperlink>
          </w:p>
        </w:tc>
        <w:tc>
          <w:tcPr>
            <w:tcW w:w="7800" w:type="dxa"/>
            <w:vAlign w:val="bottom"/>
            <w:gridSpan w:val="11"/>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84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Properties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84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84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160" w:type="dxa"/>
            <w:vAlign w:val="bottom"/>
            <w:gridSpan w:val="3"/>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Market for Registrant’s Common Equity, Related Stockholder Matters and Issuer Purchases of Equity Securities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Selected Financial Data</w:t>
              </w:r>
            </w:hyperlink>
          </w:p>
        </w:tc>
        <w:tc>
          <w:tcPr>
            <w:tcW w:w="17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840" w:type="dxa"/>
            <w:vAlign w:val="bottom"/>
            <w:gridSpan w:val="2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3400" w:type="dxa"/>
            <w:vAlign w:val="bottom"/>
            <w:gridSpan w:val="4"/>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5500" w:type="dxa"/>
            <w:vAlign w:val="bottom"/>
            <w:gridSpan w:val="6"/>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840" w:type="dxa"/>
            <w:vAlign w:val="bottom"/>
            <w:gridSpan w:val="2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Changes in and Disagreements with Accountants on Accounting and Financial Disclosure</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3380" w:type="dxa"/>
            <w:vAlign w:val="bottom"/>
            <w:gridSpan w:val="3"/>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8080" w:type="dxa"/>
            <w:vAlign w:val="bottom"/>
            <w:gridSpan w:val="13"/>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31"/>
        </w:trPr>
        <w:tc>
          <w:tcPr>
            <w:tcW w:w="760" w:type="dxa"/>
            <w:vAlign w:val="bottom"/>
            <w:gridSpan w:val="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10.</w:t>
            </w:r>
          </w:p>
        </w:tc>
        <w:tc>
          <w:tcPr>
            <w:tcW w:w="100" w:type="dxa"/>
            <w:vAlign w:val="bottom"/>
            <w:gridSpan w:val="2"/>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5760" w:type="dxa"/>
            <w:vAlign w:val="bottom"/>
            <w:gridSpan w:val="7"/>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840" w:type="dxa"/>
            <w:vAlign w:val="bottom"/>
            <w:gridSpan w:val="2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Security Ownership of Certain Beneficial Owners and Management and Related Stockholder Matters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Certain Relationships and Related Transactions, and Director Independence</w:t>
              </w:r>
            </w:hyperlink>
          </w:p>
        </w:tc>
        <w:tc>
          <w:tcPr>
            <w:tcW w:w="2560" w:type="dxa"/>
            <w:vAlign w:val="bottom"/>
            <w:gridSpan w:val="2"/>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Principal Accountant Fees and Services</w:t>
              </w:r>
            </w:hyperlink>
          </w:p>
        </w:tc>
        <w:tc>
          <w:tcPr>
            <w:tcW w:w="4400" w:type="dxa"/>
            <w:vAlign w:val="bottom"/>
            <w:gridSpan w:val="5"/>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18"/>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89">
              <w:r>
                <w:rPr>
                  <w:rFonts w:ascii="Arial" w:cs="Arial" w:eastAsia="Arial" w:hAnsi="Arial"/>
                  <w:sz w:val="18"/>
                  <w:szCs w:val="18"/>
                  <w:color w:val="0000EE"/>
                  <w:w w:val="94"/>
                </w:rPr>
                <w:t>PART IV</w:t>
              </w:r>
            </w:hyperlink>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Exhibits and Financial Statement Schedules</w:t>
              </w:r>
            </w:hyperlink>
          </w:p>
        </w:tc>
        <w:tc>
          <w:tcPr>
            <w:tcW w:w="6680" w:type="dxa"/>
            <w:vAlign w:val="bottom"/>
            <w:gridSpan w:val="9"/>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9840" w:type="dxa"/>
            <w:vAlign w:val="bottom"/>
            <w:gridSpan w:val="2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Form 10-K Summary</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66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top w:val="single" w:sz="8" w:color="0000EE"/>
            </w:tcBorders>
            <w:gridSpan w:val="5"/>
          </w:tcPr>
          <w:p>
            <w:pPr>
              <w:spacing w:after="0"/>
              <w:rPr>
                <w:sz w:val="24"/>
                <w:szCs w:val="24"/>
                <w:color w:val="auto"/>
              </w:rPr>
            </w:pPr>
          </w:p>
        </w:tc>
        <w:tc>
          <w:tcPr>
            <w:tcW w:w="3900" w:type="dxa"/>
            <w:vAlign w:val="bottom"/>
            <w:gridSpan w:val="10"/>
          </w:tcPr>
          <w:p>
            <w:pPr>
              <w:jc w:val="center"/>
              <w:ind w:left="283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i w:val="1"/>
          <w:iCs w:val="1"/>
          <w:color w:val="auto"/>
        </w:rPr>
        <w:t>As used in this Annual Report on Form 10-K, the “Company”, the “Registrant”, “we” or “us” refer to vTv Therapeutics Inc.,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509"/>
        <w:spacing w:after="0" w:line="312" w:lineRule="auto"/>
        <w:rPr>
          <w:sz w:val="20"/>
          <w:szCs w:val="20"/>
          <w:color w:val="auto"/>
        </w:rPr>
      </w:pPr>
      <w:r>
        <w:rPr>
          <w:rFonts w:ascii="Arial" w:cs="Arial" w:eastAsia="Arial" w:hAnsi="Arial"/>
          <w:sz w:val="16"/>
          <w:szCs w:val="16"/>
          <w:color w:val="auto"/>
        </w:rPr>
        <w:t xml:space="preserve">We are a clinical-stage pharmaceutical company focused on treating metabolic diseases to minimize their long-term complications through end-organ protection. We have an innovative pipeline of first-in-class small molecule clinical and pre-clinical drug candidates for the treatment of a wide range of metabolic diseases and their long term complications, led by our drug candidates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(collectively our “Late Stage Drug Candidates”).</w:t>
      </w:r>
    </w:p>
    <w:p>
      <w:pPr>
        <w:spacing w:after="0" w:line="39"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i w:val="1"/>
          <w:iCs w:val="1"/>
          <w:color w:val="auto"/>
        </w:rPr>
        <w:t xml:space="preserve">TTP399 </w:t>
      </w:r>
      <w:r>
        <w:rPr>
          <w:rFonts w:ascii="Arial" w:cs="Arial" w:eastAsia="Arial" w:hAnsi="Arial"/>
          <w:sz w:val="17"/>
          <w:szCs w:val="17"/>
          <w:color w:val="auto"/>
        </w:rPr>
        <w:t>is an orally administered glucokinase activator currently being developed as a treatment for type 1 diabetes as an adjunct to insulin.</w:t>
      </w:r>
      <w:r>
        <w:rPr>
          <w:rFonts w:ascii="Arial" w:cs="Arial" w:eastAsia="Arial" w:hAnsi="Arial"/>
          <w:sz w:val="17"/>
          <w:szCs w:val="17"/>
          <w:i w:val="1"/>
          <w:iCs w:val="1"/>
          <w:color w:val="auto"/>
        </w:rPr>
        <w:t xml:space="preserve"> TTP399 </w:t>
      </w:r>
      <w:r>
        <w:rPr>
          <w:rFonts w:ascii="Arial" w:cs="Arial" w:eastAsia="Arial" w:hAnsi="Arial"/>
          <w:sz w:val="17"/>
          <w:szCs w:val="17"/>
          <w:color w:val="auto"/>
        </w:rPr>
        <w:t xml:space="preserve">recently completed Part 2 of an adaptive Phase 2 study in partnership with JDRF International (“JDRF”) that reported positive topline results in February 2020. </w:t>
      </w:r>
      <w:r>
        <w:rPr>
          <w:rFonts w:ascii="Arial" w:cs="Arial" w:eastAsia="Arial" w:hAnsi="Arial"/>
          <w:sz w:val="17"/>
          <w:szCs w:val="17"/>
          <w:i w:val="1"/>
          <w:iCs w:val="1"/>
          <w:color w:val="auto"/>
        </w:rPr>
        <w:t>TTP399</w:t>
      </w:r>
      <w:r>
        <w:rPr>
          <w:rFonts w:ascii="Arial" w:cs="Arial" w:eastAsia="Arial" w:hAnsi="Arial"/>
          <w:sz w:val="17"/>
          <w:szCs w:val="17"/>
          <w:color w:val="auto"/>
        </w:rPr>
        <w:t xml:space="preserve"> demonstrated statistically significant improvements in HbA1c (long-term blood sugar) compared to placebo. For detailed results from this study, please refer to “Our Type 1 Diabetes Program –TTP399 – Positive Phase 2 Simplici-T1 Study” below.</w:t>
      </w:r>
    </w:p>
    <w:p>
      <w:pPr>
        <w:spacing w:after="0" w:line="63"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 xml:space="preserve">Our second clinical drug candidate in Phase 2 development is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t>
      </w:r>
      <w:r>
        <w:rPr>
          <w:rFonts w:ascii="Arial" w:cs="Arial" w:eastAsia="Arial" w:hAnsi="Arial"/>
          <w:sz w:val="18"/>
          <w:szCs w:val="18"/>
          <w:i w:val="1"/>
          <w:iCs w:val="1"/>
          <w:color w:val="auto"/>
        </w:rPr>
        <w:t>TTP488</w:t>
      </w:r>
      <w:r>
        <w:rPr>
          <w:rFonts w:ascii="Arial" w:cs="Arial" w:eastAsia="Arial" w:hAnsi="Arial"/>
          <w:sz w:val="18"/>
          <w:szCs w:val="18"/>
          <w:color w:val="auto"/>
        </w:rPr>
        <w:t xml:space="preserve">), an orally administered, small molecule antagonist targeting the receptor for advanced glycation endproducts (“RAGE”). We are currently enrolling patients in a Phase 2 study (the “Elevage Study”) to evaluate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potential treatment of dementia of the mild-Alzheimer’s disease (“AD”) type in patients with type 2 diabetes that is expected to report results in the first half of 2021.</w:t>
      </w:r>
    </w:p>
    <w:p>
      <w:pPr>
        <w:spacing w:after="0" w:line="79" w:lineRule="exact"/>
        <w:rPr>
          <w:sz w:val="20"/>
          <w:szCs w:val="20"/>
          <w:color w:val="auto"/>
        </w:rPr>
      </w:pPr>
    </w:p>
    <w:p>
      <w:pPr>
        <w:ind w:right="340" w:firstLine="509"/>
        <w:spacing w:after="0" w:line="259" w:lineRule="auto"/>
        <w:rPr>
          <w:sz w:val="20"/>
          <w:szCs w:val="20"/>
          <w:color w:val="auto"/>
        </w:rPr>
      </w:pPr>
      <w:r>
        <w:rPr>
          <w:rFonts w:ascii="Arial" w:cs="Arial" w:eastAsia="Arial" w:hAnsi="Arial"/>
          <w:sz w:val="18"/>
          <w:szCs w:val="18"/>
          <w:color w:val="auto"/>
        </w:rPr>
        <w:t xml:space="preserve">In addition to our Late Stage Drug Candidates, we are also in the planning stages for an adaptive Phase 1b/2 clinical trial of </w:t>
      </w:r>
      <w:r>
        <w:rPr>
          <w:rFonts w:ascii="Arial" w:cs="Arial" w:eastAsia="Arial" w:hAnsi="Arial"/>
          <w:sz w:val="18"/>
          <w:szCs w:val="18"/>
          <w:i w:val="1"/>
          <w:iCs w:val="1"/>
          <w:color w:val="auto"/>
        </w:rPr>
        <w:t>TTP273</w:t>
      </w:r>
      <w:r>
        <w:rPr>
          <w:rFonts w:ascii="Arial" w:cs="Arial" w:eastAsia="Arial" w:hAnsi="Arial"/>
          <w:sz w:val="18"/>
          <w:szCs w:val="18"/>
          <w:color w:val="auto"/>
        </w:rPr>
        <w:t>, an orally administered non-peptidic agonist that targets the glucagon-like peptide 1 receptor (“GLP-1r”), in patients with cystic fibrosis related diabetes (“CFRD”). Finally, we continue to advance our Nrf2 pathway program via internally directed nonclinical research of non-alcoholic steatohepatitis (“NASH”) and external research agreements with academic and industry collaborators.</w:t>
      </w:r>
    </w:p>
    <w:p>
      <w:pPr>
        <w:spacing w:after="0" w:line="79"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8"/>
          <w:szCs w:val="18"/>
          <w:color w:val="auto"/>
        </w:rPr>
        <w:t>To complement our internal development efforts, we are furthering the development of our GLP-1r agonist, peroxisome proliferation activated receptor delta inhibitor (“PPAR-δ”) agonist and phosphodiesterase type 4 (“PDE4”) inhibitor programs through partnerships with pharmaceutical partners via licensing arrangements.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6440170" cy="3422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0170" cy="342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Chronic obstructive pulmonary disease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45"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600" w:firstLine="509"/>
        <w:spacing w:after="0" w:line="308" w:lineRule="auto"/>
        <w:rPr>
          <w:sz w:val="20"/>
          <w:szCs w:val="20"/>
          <w:color w:val="auto"/>
        </w:rPr>
      </w:pPr>
      <w:r>
        <w:rPr>
          <w:rFonts w:ascii="Arial" w:cs="Arial" w:eastAsia="Arial" w:hAnsi="Arial"/>
          <w:sz w:val="17"/>
          <w:szCs w:val="17"/>
          <w:color w:val="auto"/>
        </w:rPr>
        <w:t>Our goal is to advance the development of our differentiated pipeline of orally administered, small molecule drug candidates to treat metabolic diseases to minimize their long-term complications through end organ protection. As key components of our strategy, we:</w:t>
      </w:r>
    </w:p>
    <w:p>
      <w:pPr>
        <w:spacing w:after="0" w:line="38" w:lineRule="exact"/>
        <w:rPr>
          <w:sz w:val="20"/>
          <w:szCs w:val="20"/>
          <w:color w:val="auto"/>
        </w:rPr>
      </w:pPr>
    </w:p>
    <w:p>
      <w:pPr>
        <w:ind w:left="1000" w:right="120" w:hanging="492"/>
        <w:spacing w:after="0" w:line="29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advance TTP399 as a potential treatment for type 1 diabetes</w:t>
      </w:r>
      <w:r>
        <w:rPr>
          <w:rFonts w:ascii="Arial" w:cs="Arial" w:eastAsia="Arial" w:hAnsi="Arial"/>
          <w:sz w:val="16"/>
          <w:szCs w:val="16"/>
          <w:color w:val="auto"/>
        </w:rPr>
        <w:t>. In February 2020, we announced positive results from Part 2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Simplici-T1 Study, an adaptive Phase 2 clinical trial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assessing the pharmacokinetics, pharmacodynamics, safety and tolerability of </w:t>
      </w:r>
      <w:r>
        <w:rPr>
          <w:rFonts w:ascii="Arial" w:cs="Arial" w:eastAsia="Arial" w:hAnsi="Arial"/>
          <w:sz w:val="16"/>
          <w:szCs w:val="16"/>
          <w:i w:val="1"/>
          <w:iCs w:val="1"/>
          <w:color w:val="auto"/>
        </w:rPr>
        <w:t xml:space="preserve">TTP399 </w:t>
      </w:r>
      <w:r>
        <w:rPr>
          <w:rFonts w:ascii="Arial" w:cs="Arial" w:eastAsia="Arial" w:hAnsi="Arial"/>
          <w:sz w:val="16"/>
          <w:szCs w:val="16"/>
          <w:color w:val="auto"/>
        </w:rPr>
        <w:t>in adult patients with type 1 diabetes. Part 2 of this study achieved its primary objective by demonstrating statistically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improvements in HbA1c (long-term blood sugar) for TTP399 compared to placebo. Based on the successful results of this trial, we plan to initiate discussions with the FDA regarding the design of the next six-month trial to test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type 1 diabetes, and discuss possible accelerated pathways for ultimate approval including Fast Track, Breakthrough and other possible programs. We currently expect the next trial(s) to support registration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for treatment of patients with type 1 diabetes.</w:t>
      </w:r>
    </w:p>
    <w:p>
      <w:pPr>
        <w:spacing w:after="0" w:line="59" w:lineRule="exact"/>
        <w:rPr>
          <w:rFonts w:ascii="Arial" w:cs="Arial" w:eastAsia="Arial" w:hAnsi="Arial"/>
          <w:sz w:val="16"/>
          <w:szCs w:val="16"/>
          <w:color w:val="auto"/>
        </w:rPr>
      </w:pPr>
    </w:p>
    <w:p>
      <w:pPr>
        <w:ind w:left="1000" w:right="40" w:hanging="492"/>
        <w:spacing w:after="0" w:line="298"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execute the ongoing Phase 2 clinical trial for azeliragon as a potential treatment of mild Alzheimer’s disease in patients with type 2 diabetes</w:t>
      </w:r>
      <w:r>
        <w:rPr>
          <w:rFonts w:ascii="Arial" w:cs="Arial" w:eastAsia="Arial" w:hAnsi="Arial"/>
          <w:sz w:val="16"/>
          <w:szCs w:val="16"/>
          <w:color w:val="auto"/>
        </w:rPr>
        <w:t>. We continue to enroll patients in a clinical trial to evaluate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azeliragon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potential treatment of mild-AD in patients with type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 diabetes (the “Elevage Study”). The trial consists of sequential Phase 2 and Phase 3 studies operationally conducted under a single protocol. The ongoing Phase 2 study is designed to enroll approximately 100 patients to evaluate the impact of six months of treatment with </w:t>
      </w:r>
      <w:r>
        <w:rPr>
          <w:rFonts w:ascii="Arial" w:cs="Arial" w:eastAsia="Arial" w:hAnsi="Arial"/>
          <w:sz w:val="16"/>
          <w:szCs w:val="16"/>
          <w:i w:val="1"/>
          <w:iCs w:val="1"/>
          <w:color w:val="auto"/>
        </w:rPr>
        <w:t xml:space="preserve">azeliragon </w:t>
      </w:r>
      <w:r>
        <w:rPr>
          <w:rFonts w:ascii="Arial" w:cs="Arial" w:eastAsia="Arial" w:hAnsi="Arial"/>
          <w:sz w:val="16"/>
          <w:szCs w:val="16"/>
          <w:color w:val="auto"/>
        </w:rPr>
        <w:t>on cognitive performance as measured by the change from baseline in the Alzheimer’s Disease Assessment Scale – Cognitive</w:t>
      </w:r>
      <w:r>
        <w:rPr>
          <w:rFonts w:ascii="Arial" w:cs="Arial" w:eastAsia="Arial" w:hAnsi="Arial"/>
          <w:sz w:val="16"/>
          <w:szCs w:val="16"/>
          <w:i w:val="1"/>
          <w:iCs w:val="1"/>
          <w:color w:val="auto"/>
        </w:rPr>
        <w:t xml:space="preserve"> </w:t>
      </w:r>
      <w:r>
        <w:rPr>
          <w:rFonts w:ascii="Arial" w:cs="Arial" w:eastAsia="Arial" w:hAnsi="Arial"/>
          <w:sz w:val="16"/>
          <w:szCs w:val="16"/>
          <w:color w:val="auto"/>
        </w:rPr>
        <w:t>Subscale (“ADAS-COG</w:t>
      </w:r>
      <w:r>
        <w:rPr>
          <w:rFonts w:ascii="Arial" w:cs="Arial" w:eastAsia="Arial" w:hAnsi="Arial"/>
          <w:sz w:val="13"/>
          <w:szCs w:val="13"/>
          <w:color w:val="auto"/>
        </w:rPr>
        <w:t>14</w:t>
      </w:r>
      <w:r>
        <w:rPr>
          <w:rFonts w:ascii="Arial" w:cs="Arial" w:eastAsia="Arial" w:hAnsi="Arial"/>
          <w:sz w:val="16"/>
          <w:szCs w:val="16"/>
          <w:color w:val="auto"/>
        </w:rPr>
        <w:t>”). We expect to report top-line results from the Phase 2 study in the first half of 2021.</w:t>
      </w:r>
    </w:p>
    <w:p>
      <w:pPr>
        <w:spacing w:after="0" w:line="33" w:lineRule="exact"/>
        <w:rPr>
          <w:rFonts w:ascii="Arial" w:cs="Arial" w:eastAsia="Arial" w:hAnsi="Arial"/>
          <w:sz w:val="16"/>
          <w:szCs w:val="16"/>
          <w:color w:val="auto"/>
        </w:rPr>
      </w:pPr>
    </w:p>
    <w:p>
      <w:pPr>
        <w:ind w:left="1000" w:right="300" w:hanging="492"/>
        <w:spacing w:after="0" w:line="276"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Seek orphan designation for TTP273 as a treatment of cystic fibrosis-related diabetes. </w:t>
      </w:r>
      <w:r>
        <w:rPr>
          <w:rFonts w:ascii="Arial" w:cs="Arial" w:eastAsia="Arial" w:hAnsi="Arial"/>
          <w:sz w:val="17"/>
          <w:szCs w:val="17"/>
          <w:color w:val="auto"/>
        </w:rPr>
        <w:t>We plan to file an application seeking orphan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designation status for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as a potential treatment of cystic fibrosis related diabetes. If successful, this designation will provide better access to personnel at the FDA to discuss an appropriate development strategy for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this indication. We are currently planning an adaptive Phase 1b/2 clinical trial assessing the pharmacokinetics, pharmacodynamics, safety and tolerability of </w:t>
      </w:r>
      <w:r>
        <w:rPr>
          <w:rFonts w:ascii="Arial" w:cs="Arial" w:eastAsia="Arial" w:hAnsi="Arial"/>
          <w:sz w:val="17"/>
          <w:szCs w:val="17"/>
          <w:i w:val="1"/>
          <w:iCs w:val="1"/>
          <w:color w:val="auto"/>
        </w:rPr>
        <w:t>TTP273</w:t>
      </w:r>
      <w:r>
        <w:rPr>
          <w:rFonts w:ascii="Arial" w:cs="Arial" w:eastAsia="Arial" w:hAnsi="Arial"/>
          <w:sz w:val="17"/>
          <w:szCs w:val="17"/>
          <w:color w:val="auto"/>
        </w:rPr>
        <w:t>, but the final design may be adjusted based on the feedback received from the FDA.</w:t>
      </w:r>
    </w:p>
    <w:p>
      <w:pPr>
        <w:spacing w:after="0" w:line="64" w:lineRule="exact"/>
        <w:rPr>
          <w:rFonts w:ascii="Arial" w:cs="Arial" w:eastAsia="Arial" w:hAnsi="Arial"/>
          <w:sz w:val="17"/>
          <w:szCs w:val="17"/>
          <w:color w:val="auto"/>
        </w:rPr>
      </w:pPr>
    </w:p>
    <w:p>
      <w:pPr>
        <w:ind w:left="1000" w:right="180" w:hanging="492"/>
        <w:spacing w:after="0" w:line="259"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Seek additional strategic collaborations and additional funding to support the continued development and commercialization of our development programs</w:t>
      </w:r>
      <w:r>
        <w:rPr>
          <w:rFonts w:ascii="Arial" w:cs="Arial" w:eastAsia="Arial" w:hAnsi="Arial"/>
          <w:sz w:val="18"/>
          <w:szCs w:val="18"/>
          <w:color w:val="auto"/>
        </w:rPr>
        <w:t>. We will continue to seek additional funding to support the further development of our drug candidates. Such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come from strategic collaborations with non-profit research funding organizations such as JDRF International or from collaboration agreements with other pharmaceutical companies.</w:t>
      </w:r>
    </w:p>
    <w:p>
      <w:pPr>
        <w:spacing w:after="0" w:line="78" w:lineRule="exact"/>
        <w:rPr>
          <w:rFonts w:ascii="Arial" w:cs="Arial" w:eastAsia="Arial" w:hAnsi="Arial"/>
          <w:sz w:val="18"/>
          <w:szCs w:val="18"/>
          <w:color w:val="auto"/>
        </w:rPr>
      </w:pPr>
    </w:p>
    <w:p>
      <w:pPr>
        <w:ind w:left="1000" w:right="260" w:hanging="492"/>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monitor and support existing partnerships for pipeline programs</w:t>
      </w:r>
      <w:r>
        <w:rPr>
          <w:rFonts w:ascii="Arial" w:cs="Arial" w:eastAsia="Arial" w:hAnsi="Arial"/>
          <w:sz w:val="16"/>
          <w:szCs w:val="16"/>
          <w:color w:val="auto"/>
        </w:rPr>
        <w:t>. Our partners developing our GLP-1r, PPAR-δ, and PDE4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continue to advance these programs in their respective licensed territories. We continue to support and monitor these partnerships.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Type 1 Diabetes Program –TTP399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Diabetes Overview</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Type 1 diabetes is an autoimmune disease in which a person’s pancreas stops producing insulin (a hormone that enables people to get energy from food). Type 1 diabetes results when the body’s immune system attacks and destroys the insulin-producing cells in the pancreas called beta cells. While the causes of type 1 diabetes are not yet entirely understood, scientists believe that both genetic factors and environmental triggers are involved. The onset of type 1 diabetes is not believed to be affected by diet or lifestyle.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Treatments for Type 1 Diabetes and Their Limitations</w:t>
      </w:r>
    </w:p>
    <w:p>
      <w:pPr>
        <w:spacing w:after="0" w:line="11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Patients with type 1 diabetes have difficulty achieving and maintaining consistent glycemic control, defined as HbA</w:t>
      </w:r>
      <w:r>
        <w:rPr>
          <w:rFonts w:ascii="Arial" w:cs="Arial" w:eastAsia="Arial" w:hAnsi="Arial"/>
          <w:sz w:val="14"/>
          <w:szCs w:val="14"/>
          <w:color w:val="auto"/>
        </w:rPr>
        <w:t>1c</w:t>
      </w:r>
      <w:r>
        <w:rPr>
          <w:rFonts w:ascii="Arial" w:cs="Arial" w:eastAsia="Arial" w:hAnsi="Arial"/>
          <w:sz w:val="17"/>
          <w:szCs w:val="17"/>
          <w:color w:val="auto"/>
        </w:rPr>
        <w:t xml:space="preserve"> &lt; 7% as recommended by the American Diabetes Association (ADA). In order to maintain appropriate glycemic control, patients with type 1 diabetes are required to constantly monitor their blood glucose levels, closely manage their diet, and administer insulin via injection in response. While technology has advanced to help people with type 1 diabetes manage the burden of this monitoring and insulin administration process, including continuous glucose monitors and insulin pumps, patient outcomes have not improved: approximately 80% of people with type 1 diabetes fail to achieve the ADA’s recommended HbA1c levels. Failure to maintain glycemic control results in dangerous excursions into hyperglycemia or hypoglycemia that are potentially fatal. In addition, the accumulated impact of these glycemic excursions can raise a patient’s risk of potentially serious and life-threatening long-term complications, such as cardiovascular disease, blindness, kidney failure, and nerve damage.</w:t>
      </w:r>
    </w:p>
    <w:p>
      <w:pPr>
        <w:spacing w:after="0" w:line="7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A number of existing treatment options for type 2 diabetes have been investigated to treat type 1 diabetes, generally without success. While a pair of SGLT-1/2 and SGLT-2 inhibitors were recently approved in Europe and Japan with label restrictions to certain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85" w:right="259" w:bottom="1440" w:gutter="0" w:footer="0" w:header="0"/>
        </w:sectPr>
      </w:pPr>
    </w:p>
    <w:bookmarkStart w:id="5" w:name="page6"/>
    <w:bookmarkEnd w:id="5"/>
    <w:p>
      <w:pPr>
        <w:ind w:right="40"/>
        <w:spacing w:after="0" w:line="279" w:lineRule="auto"/>
        <w:rPr>
          <w:sz w:val="20"/>
          <w:szCs w:val="20"/>
          <w:color w:val="auto"/>
        </w:rPr>
      </w:pPr>
      <w:r>
        <w:rPr>
          <w:rFonts w:ascii="Arial" w:cs="Arial" w:eastAsia="Arial" w:hAnsi="Arial"/>
          <w:sz w:val="17"/>
          <w:szCs w:val="17"/>
          <w:color w:val="auto"/>
        </w:rPr>
        <w:t>sub-groups of people with type 1 diabetes, these therapies have not been approved in the U.S. due to safety risks primarily relating to diabetic ketoacidosis (“DKA”). Alternative therapeutic modalities, including monoclonal antibodies, are under clinical investigation and have demonstrated evidence of the potential to delay the onset of type 1 diabetes. Nevertheless, such alternatives do not address the unmet need of existing patients with type 1 diabetes or those that eventually become type 1 diabetes patients following any therapeutic delay in disease onset.</w:t>
      </w:r>
    </w:p>
    <w:p>
      <w:pPr>
        <w:spacing w:after="0" w:line="63" w:lineRule="exact"/>
        <w:rPr>
          <w:sz w:val="20"/>
          <w:szCs w:val="20"/>
          <w:color w:val="auto"/>
        </w:rPr>
      </w:pPr>
    </w:p>
    <w:p>
      <w:pPr>
        <w:jc w:val="both"/>
        <w:ind w:right="160" w:firstLine="509"/>
        <w:spacing w:after="0" w:line="312" w:lineRule="auto"/>
        <w:rPr>
          <w:sz w:val="20"/>
          <w:szCs w:val="20"/>
          <w:color w:val="auto"/>
        </w:rPr>
      </w:pPr>
      <w:r>
        <w:rPr>
          <w:rFonts w:ascii="Arial" w:cs="Arial" w:eastAsia="Arial" w:hAnsi="Arial"/>
          <w:sz w:val="16"/>
          <w:szCs w:val="16"/>
          <w:color w:val="auto"/>
        </w:rPr>
        <w:t>With insulin and pramlintide injection as the only treatment options approved in the United States for type 1 diabetes, there is an unmet medical need to provide people with type 1 diabetes additional, especially oral, treatment options that can help them to reduce HbA1c, achieve greater control over blood glucose levels, and reduce daily insulin doses without increasing the risk of hypoglycemia (blood glucose levels below normal) or DKA.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Glucokinase Activation in Diabetes</w:t>
      </w:r>
    </w:p>
    <w:p>
      <w:pPr>
        <w:spacing w:after="0" w:line="117" w:lineRule="exact"/>
        <w:rPr>
          <w:sz w:val="20"/>
          <w:szCs w:val="20"/>
          <w:color w:val="auto"/>
        </w:rPr>
      </w:pPr>
    </w:p>
    <w:p>
      <w:pPr>
        <w:ind w:right="60" w:firstLine="509"/>
        <w:spacing w:after="0" w:line="276" w:lineRule="auto"/>
        <w:rPr>
          <w:sz w:val="20"/>
          <w:szCs w:val="20"/>
          <w:color w:val="auto"/>
        </w:rPr>
      </w:pPr>
      <w:r>
        <w:rPr>
          <w:rFonts w:ascii="Arial" w:cs="Arial" w:eastAsia="Arial" w:hAnsi="Arial"/>
          <w:sz w:val="17"/>
          <w:szCs w:val="17"/>
          <w:color w:val="auto"/>
        </w:rPr>
        <w:t>Glucokinase (“GK”) is a key regulator of glucose homeostasis and acts as the physiological glucose sensor, changing its conformation, activity, and/or intracellular location in parallel with changes in glucose concentrations. GK has two distinctive characteristics that make it a good choice for blood glucose control. First, its expression is mostly limited to tissues that require glucose-sensing (mainly liver and pancreatic β-cells). Second, GK acts as a biological sensor for changes in serum glucose levels and modulates changes in liver glucose metabolism that in turn regulates the balance between hepatic glucose production and glucose consumption, and modulates changes in insulin secretion by the β-cells. GK activation is attractive as a potential therapy for the treatment of type 1 diabetes and has a mechanism of action entirely distinct from currently marketed oral anti-diabetic drugs (“OAD”). GK activation has been demonstrated in animal models of type 1 diabetes to reduce HbA</w:t>
      </w:r>
      <w:r>
        <w:rPr>
          <w:rFonts w:ascii="Arial" w:cs="Arial" w:eastAsia="Arial" w:hAnsi="Arial"/>
          <w:sz w:val="14"/>
          <w:szCs w:val="14"/>
          <w:color w:val="auto"/>
        </w:rPr>
        <w:t>1c</w:t>
      </w:r>
      <w:r>
        <w:rPr>
          <w:rFonts w:ascii="Arial" w:cs="Arial" w:eastAsia="Arial" w:hAnsi="Arial"/>
          <w:sz w:val="17"/>
          <w:szCs w:val="17"/>
          <w:color w:val="auto"/>
        </w:rPr>
        <w:t xml:space="preserve"> and to be well tolerated.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TTP399</w:t>
      </w:r>
    </w:p>
    <w:p>
      <w:pPr>
        <w:spacing w:after="0" w:line="117"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i w:val="1"/>
          <w:iCs w:val="1"/>
          <w:color w:val="auto"/>
        </w:rPr>
        <w:t xml:space="preserve">TTP399 </w:t>
      </w:r>
      <w:r>
        <w:rPr>
          <w:rFonts w:ascii="Arial" w:cs="Arial" w:eastAsia="Arial" w:hAnsi="Arial"/>
          <w:sz w:val="16"/>
          <w:szCs w:val="16"/>
          <w:color w:val="auto"/>
        </w:rPr>
        <w:t>is an orally administered, small molecule, liver-selective glucokinase activator (“GKA”) in development as a new potential OAD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treatment of type 1 diabetes. TTP399 has a novel mechanism of action: liver-selective activation of GK that seeks to provide intensive glycemic control without inducing significant hypoglycemia. Our trials for </w:t>
      </w:r>
      <w:r>
        <w:rPr>
          <w:rFonts w:ascii="Arial" w:cs="Arial" w:eastAsia="Arial" w:hAnsi="Arial"/>
          <w:sz w:val="16"/>
          <w:szCs w:val="16"/>
          <w:i w:val="1"/>
          <w:iCs w:val="1"/>
          <w:color w:val="auto"/>
        </w:rPr>
        <w:t>TTP399</w:t>
      </w:r>
      <w:r>
        <w:rPr>
          <w:rFonts w:ascii="Arial" w:cs="Arial" w:eastAsia="Arial" w:hAnsi="Arial"/>
          <w:sz w:val="16"/>
          <w:szCs w:val="16"/>
          <w:color w:val="auto"/>
        </w:rPr>
        <w:t xml:space="preserve"> to date suggest that our liver-selective approach to GK activation has the potential to avoid the tolerability issues associated with other GKAs, such as activation of GK in the pancreas, stimulation of insulin secretion independent of glucose, hypoglycemia, increased lipids and liver toxicity. Based on data from Phase 1 and 2 trials to date, we believe that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if approved, has the potential to be a first-in-class OAD due to its liver-selectivity and novel mechanism of action. We have completed nine Phase 1 and two Phase 2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one of which was six months in duration. In our Phase 1 and 2 clinical trials, </w:t>
      </w:r>
      <w:r>
        <w:rPr>
          <w:rFonts w:ascii="Arial" w:cs="Arial" w:eastAsia="Arial" w:hAnsi="Arial"/>
          <w:sz w:val="16"/>
          <w:szCs w:val="16"/>
          <w:i w:val="1"/>
          <w:iCs w:val="1"/>
          <w:color w:val="auto"/>
        </w:rPr>
        <w:t>TTP399</w:t>
      </w:r>
      <w:r>
        <w:rPr>
          <w:rFonts w:ascii="Arial" w:cs="Arial" w:eastAsia="Arial" w:hAnsi="Arial"/>
          <w:sz w:val="16"/>
          <w:szCs w:val="16"/>
          <w:color w:val="auto"/>
        </w:rPr>
        <w:t xml:space="preserve"> was well tolerated with negligible incidence of hypoglycemia.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Positive Phase 2 Simplici-T1 Study</w:t>
      </w:r>
    </w:p>
    <w:p>
      <w:pPr>
        <w:spacing w:after="0" w:line="117" w:lineRule="exact"/>
        <w:rPr>
          <w:sz w:val="20"/>
          <w:szCs w:val="20"/>
          <w:color w:val="auto"/>
        </w:rPr>
      </w:pPr>
    </w:p>
    <w:p>
      <w:pPr>
        <w:ind w:right="180" w:firstLine="509"/>
        <w:spacing w:after="0" w:line="262" w:lineRule="auto"/>
        <w:rPr>
          <w:sz w:val="20"/>
          <w:szCs w:val="20"/>
          <w:color w:val="auto"/>
        </w:rPr>
      </w:pPr>
      <w:r>
        <w:rPr>
          <w:rFonts w:ascii="Arial" w:cs="Arial" w:eastAsia="Arial" w:hAnsi="Arial"/>
          <w:sz w:val="18"/>
          <w:szCs w:val="18"/>
          <w:color w:val="auto"/>
        </w:rPr>
        <w:t xml:space="preserve">In February 2020, we announced positive results from Part 2 of the Simplici-T1 Study, an adaptive Phase 2 clinical trial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assessing the pharmacokinetics, pharmacodynamics, safety and tolerability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adult patients with type 1 diabetes (“T1D”) over a 12 week period. The study enrolled 85 patients and was designed to evaluate whether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is well tolerated and can improve daily glucose profiles and HbA</w:t>
      </w:r>
      <w:r>
        <w:rPr>
          <w:rFonts w:ascii="Arial" w:cs="Arial" w:eastAsia="Arial" w:hAnsi="Arial"/>
          <w:sz w:val="15"/>
          <w:szCs w:val="15"/>
          <w:color w:val="auto"/>
        </w:rPr>
        <w:t>1c</w:t>
      </w:r>
      <w:r>
        <w:rPr>
          <w:rFonts w:ascii="Arial" w:cs="Arial" w:eastAsia="Arial" w:hAnsi="Arial"/>
          <w:sz w:val="18"/>
          <w:szCs w:val="18"/>
          <w:color w:val="auto"/>
        </w:rPr>
        <w:t xml:space="preserve"> in people living with T1D when administered as an oral add-on to insulin therapy. Part 2 of the Simplici-T1 Study achieved its primary objective by demonstrating statistically significant improvements in HbA</w:t>
      </w:r>
      <w:r>
        <w:rPr>
          <w:rFonts w:ascii="Arial" w:cs="Arial" w:eastAsia="Arial" w:hAnsi="Arial"/>
          <w:sz w:val="15"/>
          <w:szCs w:val="15"/>
          <w:color w:val="auto"/>
        </w:rPr>
        <w:t>1c</w:t>
      </w:r>
      <w:r>
        <w:rPr>
          <w:rFonts w:ascii="Arial" w:cs="Arial" w:eastAsia="Arial" w:hAnsi="Arial"/>
          <w:sz w:val="18"/>
          <w:szCs w:val="18"/>
          <w:color w:val="auto"/>
        </w:rPr>
        <w:t xml:space="preserve">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compared to placebo.</w:t>
      </w:r>
    </w:p>
    <w:p>
      <w:pPr>
        <w:spacing w:after="0" w:line="59"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i w:val="1"/>
          <w:iCs w:val="1"/>
          <w:color w:val="auto"/>
        </w:rPr>
        <w:t xml:space="preserve">TTP399 </w:t>
      </w:r>
      <w:r>
        <w:rPr>
          <w:rFonts w:ascii="Arial" w:cs="Arial" w:eastAsia="Arial" w:hAnsi="Arial"/>
          <w:sz w:val="18"/>
          <w:szCs w:val="18"/>
          <w:color w:val="auto"/>
        </w:rPr>
        <w:t>was well tolerated with similar incidences of treatment-emergent adverse events overall and by system organ class in both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groups. The study had no report of diabetic ketoacidosis in either treatment group. There was no incidence of severe hypoglycemia in the treated group and one incident in the placebo group. Patients taking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experienced fewer symptomatic hypoglycemic episodes: two subjects taking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reported at least one event compared to eight subjects taking placebo.</w:t>
      </w:r>
    </w:p>
    <w:p>
      <w:pPr>
        <w:spacing w:after="0" w:line="79"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 xml:space="preserve">To eliminate the possibility that the reduction in HbA1c was driven by the administration of excess insulin (3 or more units per day), a second estimand analysis was performed which evaluated the effect on HbA1c for patients without evidence of noncompliance with prescribed treatment and who did not administer increases of bolus insulin of three or more units per day. This second estimand analysis was pre-specified and consistent with current regulatory guidance. Based upon the second estimand analysis, people treated with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achieved a statistically-significant placebo-subtracted reduction in HbA1c of 0.32% (p=0.001). Patients taking </w:t>
      </w:r>
      <w:r>
        <w:rPr>
          <w:rFonts w:ascii="Arial" w:cs="Arial" w:eastAsia="Arial" w:hAnsi="Arial"/>
          <w:sz w:val="16"/>
          <w:szCs w:val="16"/>
          <w:i w:val="1"/>
          <w:iCs w:val="1"/>
          <w:color w:val="auto"/>
        </w:rPr>
        <w:t>TTP399</w:t>
      </w:r>
      <w:r>
        <w:rPr>
          <w:rFonts w:ascii="Arial" w:cs="Arial" w:eastAsia="Arial" w:hAnsi="Arial"/>
          <w:sz w:val="16"/>
          <w:szCs w:val="16"/>
          <w:color w:val="auto"/>
        </w:rPr>
        <w:t xml:space="preserve"> experienced a 0.21% reduction in HbA1c, while patients taking placebo experienced a 0.11% increase in HbA1c, from a mean study baseline HbA1c of 7.6% following a multi-week insulin optimization period prior to the administration of study treatment.</w:t>
      </w:r>
    </w:p>
    <w:p>
      <w:pPr>
        <w:spacing w:after="0" w:line="57" w:lineRule="exact"/>
        <w:rPr>
          <w:sz w:val="20"/>
          <w:szCs w:val="20"/>
          <w:color w:val="auto"/>
        </w:rPr>
      </w:pPr>
    </w:p>
    <w:p>
      <w:pPr>
        <w:jc w:val="both"/>
        <w:ind w:right="520" w:firstLine="509"/>
        <w:spacing w:after="0" w:line="264" w:lineRule="auto"/>
        <w:rPr>
          <w:sz w:val="20"/>
          <w:szCs w:val="20"/>
          <w:color w:val="auto"/>
        </w:rPr>
      </w:pPr>
      <w:r>
        <w:rPr>
          <w:rFonts w:ascii="Arial" w:cs="Arial" w:eastAsia="Arial" w:hAnsi="Arial"/>
          <w:sz w:val="18"/>
          <w:szCs w:val="18"/>
          <w:color w:val="auto"/>
        </w:rPr>
        <w:t xml:space="preserve">Daily Time in Range was improved by approximately two hours in patients treated with </w:t>
      </w:r>
      <w:r>
        <w:rPr>
          <w:rFonts w:ascii="Arial" w:cs="Arial" w:eastAsia="Arial" w:hAnsi="Arial"/>
          <w:sz w:val="18"/>
          <w:szCs w:val="18"/>
          <w:i w:val="1"/>
          <w:iCs w:val="1"/>
          <w:color w:val="auto"/>
        </w:rPr>
        <w:t>TTP399</w:t>
      </w:r>
      <w:r>
        <w:rPr>
          <w:rFonts w:ascii="Arial" w:cs="Arial" w:eastAsia="Arial" w:hAnsi="Arial"/>
          <w:sz w:val="18"/>
          <w:szCs w:val="18"/>
          <w:color w:val="auto"/>
        </w:rPr>
        <w:t xml:space="preserve"> relative to placebo (p=0.03). </w:t>
      </w:r>
      <w:r>
        <w:rPr>
          <w:rFonts w:ascii="Arial" w:cs="Arial" w:eastAsia="Arial" w:hAnsi="Arial"/>
          <w:sz w:val="18"/>
          <w:szCs w:val="18"/>
          <w:i w:val="1"/>
          <w:iCs w:val="1"/>
          <w:color w:val="auto"/>
        </w:rPr>
        <w:t>TTP399</w:t>
      </w:r>
      <w:r>
        <w:rPr>
          <w:rFonts w:ascii="Arial" w:cs="Arial" w:eastAsia="Arial" w:hAnsi="Arial"/>
          <w:sz w:val="18"/>
          <w:szCs w:val="18"/>
          <w:color w:val="auto"/>
        </w:rPr>
        <w:t xml:space="preserve"> treatment reduced the total daily mealtime bolus insulin dose by 11% relative to baseline (p=0.02) whereas the placebo-treated group experienced a 3% decrease relative to baseline.</w:t>
      </w:r>
    </w:p>
    <w:p>
      <w:pPr>
        <w:spacing w:after="0" w:line="73"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 xml:space="preserve">In light of these positive results, we plan to seek opportunities to accelerate development as well as obtain feedback from the FDA regarding the design of the next trial to test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patients with type 1 diabetes. We currently expect the next trial(s) to be six months in duration and support potential registration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for patients with type 1 diabetes. We are continuing to explore options, including various fundraising strategies, for further development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for type 1 diabetes and diabetic complications either alone or in collaboration with a partner.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Our Dementia Program – </w:t>
      </w:r>
      <w:r>
        <w:rPr>
          <w:rFonts w:ascii="Arial" w:cs="Arial" w:eastAsia="Arial" w:hAnsi="Arial"/>
          <w:sz w:val="18"/>
          <w:szCs w:val="18"/>
          <w:b w:val="1"/>
          <w:bCs w:val="1"/>
          <w:i w:val="1"/>
          <w:iCs w:val="1"/>
          <w:color w:val="auto"/>
        </w:rPr>
        <w:t>Azeliragon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Alzheimer’s Disease and the Role of RAGE</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AD is a progressive neurodegenerative disorder that slowly destroys memory and thinking skills, and eventually the ability to carry out simple tasks. Its symptoms include cognitive dysfunction, memory abnormalities, progressive impairment in activities of daily living and a host of behavioral and neuropsychiatric symptoms. The exact cause of AD is unknown; however, genetic and environmental factors are established contributors. Amyloid Beta (“Aβ”) plaques, neurofibrillary tangles of tau protein, and neuroinflammation in the brain are believed to be the main causes of the disease, leading to a loss of neuronal connectivity in the brain.</w:t>
      </w:r>
    </w:p>
    <w:p>
      <w:pPr>
        <w:spacing w:after="0" w:line="80"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RAGE is an immunoglobulin-like cell surface receptor that is overexpressed in brain tissues of patients with AD. We believe that RAGE is an important cellular cofactor that binds ligands that are implicated in multiple factors of AD, including Aβ transport into the brain, the phosphorylation of tau, chronic inflammation, vascular dysfunction, metabolic dysregulation and neurotoxicity. These effects are attenuated following antagonism of the RAGE receptor.</w:t>
      </w:r>
    </w:p>
    <w:p>
      <w:pPr>
        <w:spacing w:after="0" w:line="79" w:lineRule="exact"/>
        <w:rPr>
          <w:sz w:val="20"/>
          <w:szCs w:val="20"/>
          <w:color w:val="auto"/>
        </w:rPr>
      </w:pPr>
    </w:p>
    <w:p>
      <w:pPr>
        <w:ind w:right="260" w:firstLine="509"/>
        <w:spacing w:after="0" w:line="272" w:lineRule="auto"/>
        <w:rPr>
          <w:sz w:val="20"/>
          <w:szCs w:val="20"/>
          <w:color w:val="auto"/>
        </w:rPr>
      </w:pPr>
      <w:r>
        <w:rPr>
          <w:rFonts w:ascii="Arial" w:cs="Arial" w:eastAsia="Arial" w:hAnsi="Arial"/>
          <w:sz w:val="17"/>
          <w:szCs w:val="17"/>
          <w:color w:val="auto"/>
        </w:rPr>
        <w:t>Post-mortem studies in patients with AD reveal increased RAGE expression in neuronal, microglial and endothelial cells when compared to similar subjects without AD. Cells around senile plaques express higher levels of RAGE during disease progression. Furthermore, expressed levels of RAGE are correlated with the severity of the disease. Advanced glycation endproducts (“AGEs”) also accumulate in tissues of people with type 2 diabetes. When the concentration of AGEs and other RAGE ligands increases, expression of RAGE is induced. AGEs play a major role in the worsening of complications of type 2 diabetes, such as retinopathy, neuropathy and nephropathy. Furthermore, AGE accumulation parallels the development of cognitive impairment and dementia in individuals with type 2 diabetes. Taken together, we believe that the scientific literature provides substantial support for RAGE inhibition as a promising therapeutic approach in the treatment of AD.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Treatments of Alzheimer’s Disease and Their Limitations</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Currently, there are only two classes of approved therapies for the treatment of AD: acetylcholinesterase inhibitors (“AChEIs”) and glutamatergic modulators. AChEIs are designed to slow the degradation of acetylcholine, helping to preserve neuronal communication and function temporarily, but do not slow or halt neuronal death. Glutamatergic modulators are designed to block sustained, low-level activation of the N-methyl-D-aspartate (“NMDA”) receptor without inhibiting the normal function of the receptor in memory and cognition, providing temporary symptomatic relief.</w:t>
      </w:r>
    </w:p>
    <w:p>
      <w:pPr>
        <w:spacing w:after="0" w:line="63" w:lineRule="exact"/>
        <w:rPr>
          <w:sz w:val="20"/>
          <w:szCs w:val="20"/>
          <w:color w:val="auto"/>
        </w:rPr>
      </w:pPr>
    </w:p>
    <w:p>
      <w:pPr>
        <w:ind w:right="320" w:firstLine="509"/>
        <w:spacing w:after="0" w:line="257" w:lineRule="auto"/>
        <w:rPr>
          <w:sz w:val="20"/>
          <w:szCs w:val="20"/>
          <w:color w:val="auto"/>
        </w:rPr>
      </w:pPr>
      <w:r>
        <w:rPr>
          <w:rFonts w:ascii="Arial" w:cs="Arial" w:eastAsia="Arial" w:hAnsi="Arial"/>
          <w:sz w:val="18"/>
          <w:szCs w:val="18"/>
          <w:color w:val="auto"/>
        </w:rPr>
        <w:t>The currently available treatments address the symptoms of AD rather than the underlying cause and as a result, AD continues to progress in these patients despite treatment. Similarly, the use of antidepressants and antipsychotics are often prescribed off-label to treat the symptoms of severe AD when patients suffer from agitation, aggressive behaviors, psychosis and depression. Recent drug candidates under development include those focused on Aβ synthesis or clearance from the brain, the phosphorylation of tau protein, chronic inflammation, vascular dysfunction, metabolic dysregulation and neurotoxicity.</w:t>
      </w:r>
    </w:p>
    <w:p>
      <w:pPr>
        <w:spacing w:after="0" w:line="80"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Despite nearly 40% of Medicare beneficiaries with AD having type 2 diabetes, we are not aware of any other therapies currently in development for the treatment of AD in patients with type 2 diabetes.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Azeliragon</w:t>
      </w:r>
    </w:p>
    <w:p>
      <w:pPr>
        <w:spacing w:after="0" w:line="117" w:lineRule="exact"/>
        <w:rPr>
          <w:sz w:val="20"/>
          <w:szCs w:val="20"/>
          <w:color w:val="auto"/>
        </w:rPr>
      </w:pPr>
    </w:p>
    <w:p>
      <w:pPr>
        <w:ind w:firstLine="509"/>
        <w:spacing w:after="0" w:line="297" w:lineRule="auto"/>
        <w:rPr>
          <w:sz w:val="20"/>
          <w:szCs w:val="20"/>
          <w:color w:val="auto"/>
        </w:rPr>
      </w:pPr>
      <w:r>
        <w:rPr>
          <w:rFonts w:ascii="Arial" w:cs="Arial" w:eastAsia="Arial" w:hAnsi="Arial"/>
          <w:sz w:val="16"/>
          <w:szCs w:val="16"/>
          <w:i w:val="1"/>
          <w:iCs w:val="1"/>
          <w:color w:val="auto"/>
        </w:rPr>
        <w:t xml:space="preserve">Azeliragon </w:t>
      </w:r>
      <w:r>
        <w:rPr>
          <w:rFonts w:ascii="Arial" w:cs="Arial" w:eastAsia="Arial" w:hAnsi="Arial"/>
          <w:sz w:val="16"/>
          <w:szCs w:val="16"/>
          <w:color w:val="auto"/>
        </w:rPr>
        <w:t>is an orally administered, small molecule investigational drug candidate with a novel mechanism of action of inhibiting RAGE.</w:t>
      </w:r>
      <w:r>
        <w:rPr>
          <w:rFonts w:ascii="Arial" w:cs="Arial" w:eastAsia="Arial" w:hAnsi="Arial"/>
          <w:sz w:val="16"/>
          <w:szCs w:val="16"/>
          <w:i w:val="1"/>
          <w:iCs w:val="1"/>
          <w:color w:val="auto"/>
        </w:rPr>
        <w:t xml:space="preserve"> Azeliragon </w:t>
      </w:r>
      <w:r>
        <w:rPr>
          <w:rFonts w:ascii="Arial" w:cs="Arial" w:eastAsia="Arial" w:hAnsi="Arial"/>
          <w:sz w:val="16"/>
          <w:szCs w:val="16"/>
          <w:color w:val="auto"/>
        </w:rPr>
        <w:t xml:space="preserve">has the potential to offer a novel therapeutic modality to address dementia of the Alzheimer’s type in patients with type 2 diabetes; we are not aware of any other clinical-stage drugs targeting RAGE.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is designed to inhibit RAGE, which may provide the following benefits for patients with dementia and diabetes: blockade of, and reduction in, microglia activation; less brain atrophy; less dysregulation of brain glucose metabolism; reduction in inflammation; and preservation of cognition and functional activities. To date, we have conducted eight Phase 1, three Phase 2 and two Phase 3 clinical trials of </w:t>
      </w:r>
      <w:r>
        <w:rPr>
          <w:rFonts w:ascii="Arial" w:cs="Arial" w:eastAsia="Arial" w:hAnsi="Arial"/>
          <w:sz w:val="16"/>
          <w:szCs w:val="16"/>
          <w:i w:val="1"/>
          <w:iCs w:val="1"/>
          <w:color w:val="auto"/>
        </w:rPr>
        <w:t>azeliragon</w:t>
      </w:r>
      <w:r>
        <w:rPr>
          <w:rFonts w:ascii="Arial" w:cs="Arial" w:eastAsia="Arial" w:hAnsi="Arial"/>
          <w:sz w:val="16"/>
          <w:szCs w:val="16"/>
          <w:color w:val="auto"/>
        </w:rPr>
        <w:t>.</w:t>
      </w:r>
    </w:p>
    <w:p>
      <w:pPr>
        <w:spacing w:after="0" w:line="50"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 xml:space="preserve">A post-hoc subgroup analysis from the first of two concluded Phase 3 clinical trials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(the “STEADFAST Study”) demonstrated a benefit to azeliragon for the patients with Alzheimer’s disease that also had type 2 diabetes (HbA1c ≥ 6.5% anytime during the study, n=47) . The </w:t>
      </w:r>
      <w:r>
        <w:rPr>
          <w:rFonts w:ascii="Arial" w:cs="Arial" w:eastAsia="Arial" w:hAnsi="Arial"/>
          <w:sz w:val="18"/>
          <w:szCs w:val="18"/>
          <w:i w:val="1"/>
          <w:iCs w:val="1"/>
          <w:color w:val="auto"/>
        </w:rPr>
        <w:t>azeliragon</w:t>
      </w:r>
      <w:r>
        <w:rPr>
          <w:rFonts w:ascii="Arial" w:cs="Arial" w:eastAsia="Arial" w:hAnsi="Arial"/>
          <w:sz w:val="18"/>
          <w:szCs w:val="18"/>
          <w:color w:val="auto"/>
        </w:rPr>
        <w:t>-treated patients in this subgroup (n=26) demonstrated a 5.5 point benefit on ADAS-cog relative to the placebo group (n=21), which was nominally statistically significant (p = 0.006) after 18 months of treatment. Beneficial effects for azeliragon were nominally significant as early as 6-months of treatment (4.9 points, p&lt;0.001).</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2352675</wp:posOffset>
            </wp:positionH>
            <wp:positionV relativeFrom="page">
              <wp:posOffset>88900</wp:posOffset>
            </wp:positionV>
            <wp:extent cx="3173095" cy="21526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17309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 xml:space="preserve">Unlike the patients in the diabetes subgroup,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did not show a benefit across all subjects in the first trial (A-study) of the STEADFAST Study, though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was well-tolerated. Notably, placebo decline over 18 months was approximately ½ that expected based on historical data from prior and contemporary trials.</w:t>
      </w:r>
      <w:r>
        <w:rPr>
          <w:rFonts w:ascii="Arial" w:cs="Arial" w:eastAsia="Arial" w:hAnsi="Arial"/>
          <w:sz w:val="15"/>
          <w:szCs w:val="15"/>
          <w:color w:val="auto"/>
        </w:rPr>
        <w:t>1</w:t>
      </w:r>
      <w:r>
        <w:rPr>
          <w:rFonts w:ascii="Arial" w:cs="Arial" w:eastAsia="Arial" w:hAnsi="Arial"/>
          <w:sz w:val="18"/>
          <w:szCs w:val="18"/>
          <w:color w:val="auto"/>
        </w:rPr>
        <w:t xml:space="preserve"> The second Phase 3 study conducted as part of the STEADFAST Study was terminated early following announcement of the result of the A-Study.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068570" cy="2255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857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Thomas et al. Alzheimer’s &amp; Dementia 2016:12;598-603.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Sequential Phase 2 and Phase 3 Studies in Patients with Mild-AD and Type 2 Diabetes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 xml:space="preserve">Based on the subgroup analysis from the STEADFAST Study, in June 2019 we began screening patients for a clinical trial to evaluate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potential treatment of mild-AD in patients with type 2 diabetes. This clinical trial consists of sequential Phase 2 and Phase 3 studies operationally conducted under a single clinical trial protocol (the “Elevage Study”). The Phase 2 study is designed to enroll approximately 100 patients to evaluate the impact of six months of treatment with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on cognitive performance as measured by the change from baseline in the Alzheimer’s Disease Assessment Scale – Cognitive Subscale (“ADAS-COG</w:t>
      </w:r>
      <w:r>
        <w:rPr>
          <w:rFonts w:ascii="Arial" w:cs="Arial" w:eastAsia="Arial" w:hAnsi="Arial"/>
          <w:sz w:val="15"/>
          <w:szCs w:val="15"/>
          <w:color w:val="auto"/>
        </w:rPr>
        <w:t>14</w:t>
      </w:r>
      <w:r>
        <w:rPr>
          <w:rFonts w:ascii="Arial" w:cs="Arial" w:eastAsia="Arial" w:hAnsi="Arial"/>
          <w:sz w:val="18"/>
          <w:szCs w:val="18"/>
          <w:color w:val="auto"/>
        </w:rPr>
        <w:t xml:space="preserve">”). We expect to report top-line results from the Phase 2 study in the first half of 2021. The Phase 3 study is designed to enroll approximately 200 patients to evaluate the efficacy of 18 months of treatment with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on the co-primary endpoints of cognition and function. However, the design of the Phase 3 study, including the clinical endpoints, number of patients, and length of study, may be adapted based on the results of the Phase 2 study.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Cystic Fibrosis Related Diabetes Program – GLP-1r Agonist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Cystic Fibrosis Related Diabetes Overview</w:t>
      </w:r>
    </w:p>
    <w:p>
      <w:pPr>
        <w:spacing w:after="0" w:line="117" w:lineRule="exact"/>
        <w:rPr>
          <w:sz w:val="20"/>
          <w:szCs w:val="20"/>
          <w:color w:val="auto"/>
        </w:rPr>
      </w:pPr>
    </w:p>
    <w:p>
      <w:pPr>
        <w:ind w:right="80" w:firstLine="509"/>
        <w:spacing w:after="0" w:line="264" w:lineRule="auto"/>
        <w:rPr>
          <w:sz w:val="20"/>
          <w:szCs w:val="20"/>
          <w:color w:val="auto"/>
        </w:rPr>
      </w:pPr>
      <w:r>
        <w:rPr>
          <w:rFonts w:ascii="Arial" w:cs="Arial" w:eastAsia="Arial" w:hAnsi="Arial"/>
          <w:sz w:val="18"/>
          <w:szCs w:val="18"/>
          <w:color w:val="auto"/>
        </w:rPr>
        <w:t>Cystic fibrosis related diabetes (“CFRD”) shares some features with both type 1 and type 2 diabetes but is distinct, and is likewise categorized as diabetes due to other causes, specifically a disease of the exocrine pancreas by the American Diabetes Association. In people with cystic fibrosis (“CF”), the thick, sticky mucus that is characteristic of the disease causes scarring of the pancreas. This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8" w:name="page9"/>
    <w:bookmarkEnd w:id="8"/>
    <w:p>
      <w:pPr>
        <w:ind w:right="60"/>
        <w:spacing w:after="0" w:line="277" w:lineRule="auto"/>
        <w:rPr>
          <w:sz w:val="20"/>
          <w:szCs w:val="20"/>
          <w:color w:val="auto"/>
        </w:rPr>
      </w:pPr>
      <w:r>
        <w:rPr>
          <w:rFonts w:ascii="Arial" w:cs="Arial" w:eastAsia="Arial" w:hAnsi="Arial"/>
          <w:sz w:val="18"/>
          <w:szCs w:val="18"/>
          <w:color w:val="auto"/>
        </w:rPr>
        <w:t>scarring prevents the pancreas from producing normal amounts of insulin. The damaged pancreas also responds to insulin signaling in a delayed manner. The delay and blunting of the insulin response in patients with CFRD results in post-prandial hyperglycemia.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GLP-1r Activation in Cystic Fibrosis Related Diabetes</w:t>
      </w:r>
    </w:p>
    <w:p>
      <w:pPr>
        <w:spacing w:after="0" w:line="117"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GLP-1, an incretin hormone that is released by the gut in response to nutrients, lowers postprandial glucose by promoting insulin secretion. Abnormally low postprandial stimulation of incretins have been described in CF patients and improvement in postprandial hyperglycemia has been demonstrated following prandial administration of GLP-1 agonists or DPP-4 inhibitors. Nevertheless, the use of existing GLP-1 mimetics that are available for the treatment of type 2 diabetes to treat CFRD is limited by the gastro-intestinal (“GI”) side effects and undesired weight loss associated with these agents.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TTP273</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i w:val="1"/>
          <w:iCs w:val="1"/>
          <w:color w:val="auto"/>
        </w:rPr>
        <w:t xml:space="preserve">TTP273 </w:t>
      </w:r>
      <w:r>
        <w:rPr>
          <w:rFonts w:ascii="Arial" w:cs="Arial" w:eastAsia="Arial" w:hAnsi="Arial"/>
          <w:sz w:val="17"/>
          <w:szCs w:val="17"/>
          <w:color w:val="auto"/>
        </w:rPr>
        <w:t>is an orally available, small molecule GLP-1 receptor agonist which has been demonstrated to reduce postprandial glucose excursion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response to an oral glucose test or mixed meal tolerance test in both pre-clinical and clinical studies. We believe that </w:t>
      </w:r>
      <w:r>
        <w:rPr>
          <w:rFonts w:ascii="Arial" w:cs="Arial" w:eastAsia="Arial" w:hAnsi="Arial"/>
          <w:sz w:val="17"/>
          <w:szCs w:val="17"/>
          <w:i w:val="1"/>
          <w:iCs w:val="1"/>
          <w:color w:val="auto"/>
        </w:rPr>
        <w:t>TTP273</w:t>
      </w:r>
      <w:r>
        <w:rPr>
          <w:rFonts w:ascii="Arial" w:cs="Arial" w:eastAsia="Arial" w:hAnsi="Arial"/>
          <w:sz w:val="17"/>
          <w:szCs w:val="17"/>
          <w:color w:val="auto"/>
        </w:rPr>
        <w:t xml:space="preserve"> could be used to treat postprandial hyperglycemia in CFRD patients and CF patients with abnormal post-prandial glucose excursions without inducing hypoglycemia or GI side effects. An oral therapy such as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is needed because the current method of treatment of CFRD is injected insulin, which comes with associated risks of hypoglycemia and poses additional burdens on patients. Other available oral therapies for type 2 diabetes are not recommended for the treatment of CFRD due to side effects such as hypoglycemia, weight loss, or nausea. In particular, the GLP-1 mimetics currently in the market have been demonstrated to result in increased GI side effects and undesired weight loss, both of which are major drawbacks for patients with CFRD.</w:t>
      </w:r>
    </w:p>
    <w:p>
      <w:pPr>
        <w:spacing w:after="0" w:line="7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 xml:space="preserve">We have completed two Phase 1 clinical trials and one Phase 2 clinical trial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Additionally, we have completed nine Phase 1 clinical trials and one Phase 2 clinical trial of </w:t>
      </w:r>
      <w:r>
        <w:rPr>
          <w:rFonts w:ascii="Arial" w:cs="Arial" w:eastAsia="Arial" w:hAnsi="Arial"/>
          <w:sz w:val="18"/>
          <w:szCs w:val="18"/>
          <w:i w:val="1"/>
          <w:iCs w:val="1"/>
          <w:color w:val="auto"/>
        </w:rPr>
        <w:t>TTP054</w:t>
      </w:r>
      <w:r>
        <w:rPr>
          <w:rFonts w:ascii="Arial" w:cs="Arial" w:eastAsia="Arial" w:hAnsi="Arial"/>
          <w:sz w:val="18"/>
          <w:szCs w:val="18"/>
          <w:color w:val="auto"/>
        </w:rPr>
        <w:t xml:space="preserve">, a predecessor orally administered GLP-1r agonist. In our Phase 1 and Phase 2 clinical trials, </w:t>
      </w:r>
      <w:r>
        <w:rPr>
          <w:rFonts w:ascii="Arial" w:cs="Arial" w:eastAsia="Arial" w:hAnsi="Arial"/>
          <w:sz w:val="18"/>
          <w:szCs w:val="18"/>
          <w:i w:val="1"/>
          <w:iCs w:val="1"/>
          <w:color w:val="auto"/>
        </w:rPr>
        <w:t>TTP273</w:t>
      </w:r>
      <w:r>
        <w:rPr>
          <w:rFonts w:ascii="Arial" w:cs="Arial" w:eastAsia="Arial" w:hAnsi="Arial"/>
          <w:sz w:val="18"/>
          <w:szCs w:val="18"/>
          <w:color w:val="auto"/>
        </w:rPr>
        <w:t xml:space="preserve"> has been demonstrated to be well-tolerated with lower incidences of GI side effects, such as nausea and vomiting, than placebo with minimal weight loss, especially in non-obese patients.</w:t>
      </w:r>
    </w:p>
    <w:p>
      <w:pPr>
        <w:spacing w:after="0" w:line="79"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 xml:space="preserve">We plan to file an application seeking orphan designation status for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as a potential treatment of CFRD. If successful, this status will provide better access to personnel at the FDA to discuss an appropriate development strategy for </w:t>
      </w:r>
      <w:r>
        <w:rPr>
          <w:rFonts w:ascii="Arial" w:cs="Arial" w:eastAsia="Arial" w:hAnsi="Arial"/>
          <w:sz w:val="18"/>
          <w:szCs w:val="18"/>
          <w:i w:val="1"/>
          <w:iCs w:val="1"/>
          <w:color w:val="auto"/>
        </w:rPr>
        <w:t>TTP273</w:t>
      </w:r>
      <w:r>
        <w:rPr>
          <w:rFonts w:ascii="Arial" w:cs="Arial" w:eastAsia="Arial" w:hAnsi="Arial"/>
          <w:sz w:val="18"/>
          <w:szCs w:val="18"/>
          <w:color w:val="auto"/>
        </w:rPr>
        <w:t xml:space="preserve"> in this indication. We are currently planning an adaptive Phase 1b/2 clinical trial assessing the pharmacokinetics, pharmacodynamics, safety and tolerability of </w:t>
      </w:r>
      <w:r>
        <w:rPr>
          <w:rFonts w:ascii="Arial" w:cs="Arial" w:eastAsia="Arial" w:hAnsi="Arial"/>
          <w:sz w:val="18"/>
          <w:szCs w:val="18"/>
          <w:i w:val="1"/>
          <w:iCs w:val="1"/>
          <w:color w:val="auto"/>
        </w:rPr>
        <w:t>TTP273</w:t>
      </w:r>
      <w:r>
        <w:rPr>
          <w:rFonts w:ascii="Arial" w:cs="Arial" w:eastAsia="Arial" w:hAnsi="Arial"/>
          <w:sz w:val="18"/>
          <w:szCs w:val="18"/>
          <w:color w:val="auto"/>
        </w:rPr>
        <w:t>, but the final design may be adjusted based on the feedback received, if any, from the FDA.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Nrf2/Bach1 Modulator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Nrf2/Bach1 Modulators</w:t>
      </w:r>
    </w:p>
    <w:p>
      <w:pPr>
        <w:spacing w:after="0" w:line="117"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6"/>
          <w:szCs w:val="16"/>
          <w:color w:val="auto"/>
        </w:rPr>
        <w:t>Chronic, unresolved inflammation, oxidative stress, and resulting fibrosis are key features of many diseases. Inflammation is an integral component of the normal immune response that occurs when cells encounter harmful stimuli, such as invading pathogens, damaged cells, or irritants. During inflammation, cells activate inflammatory processes and complexes that increase the production of cytokines, which are proteins that recruit and activate immune cells.</w:t>
      </w:r>
    </w:p>
    <w:p>
      <w:pPr>
        <w:spacing w:after="0" w:line="3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Inflammation and mitochondrial metabolism are closely associated. The mitochondria are often called the “powerhouses” of the cell as they produce the energy that the cell needs to function. This energy is produced by converting fatty acids and glucose into adenosine triphosphate (ATP) by a process called oxidative phosphorylation. During inflammation, mitochondrial metabolism is temporarily reprogrammed to suppress oxidative phosphorylation. Instead of primarily making ATP, the mitochondria divert fatty acids and glucose to increase the production of proinflammatory mediators. During this reprogramming, the mitochondria release chemically-reactive molecules called reactive oxygen species (ROS) that can directly attack pathogens and amplify the production of cytokines.</w:t>
      </w:r>
    </w:p>
    <w:p>
      <w:pPr>
        <w:spacing w:after="0" w:line="8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a normal immune response, the resolution of inflammation begins after the harmful stimuli have been eliminated. Nrf2 is a protein that plays a key role in the resolution of inflammation by regulating the expression of specific genes involved in mitochondrial metabolism, redox balance, and cytokine production. When activated, Nrf2 promotes the resolution of inflammation by normalizing mitochondrial metabolism, restoring redox balance, and suppressing cytokine production.</w:t>
      </w:r>
    </w:p>
    <w:p>
      <w:pPr>
        <w:spacing w:after="0" w:line="79" w:lineRule="exact"/>
        <w:rPr>
          <w:sz w:val="20"/>
          <w:szCs w:val="20"/>
          <w:color w:val="auto"/>
        </w:rPr>
      </w:pPr>
    </w:p>
    <w:p>
      <w:pPr>
        <w:jc w:val="both"/>
        <w:ind w:right="540" w:firstLine="509"/>
        <w:spacing w:after="0" w:line="264" w:lineRule="auto"/>
        <w:rPr>
          <w:sz w:val="20"/>
          <w:szCs w:val="20"/>
          <w:color w:val="auto"/>
        </w:rPr>
      </w:pPr>
      <w:r>
        <w:rPr>
          <w:rFonts w:ascii="Arial" w:cs="Arial" w:eastAsia="Arial" w:hAnsi="Arial"/>
          <w:sz w:val="18"/>
          <w:szCs w:val="18"/>
          <w:color w:val="auto"/>
        </w:rPr>
        <w:t>In many chronic and genetic diseases, Nrf2 activity is suppressed, and the resolution of inflammation fails to occur or is inadequate, leading to persistent mitochondrial dysfunction, excess production of ROS, and production of cytokines. These processes cause chronic inflammation, which can ultimately lead to tissue damage and loss of organ function.</w:t>
      </w:r>
    </w:p>
    <w:p>
      <w:pPr>
        <w:spacing w:after="0" w:line="73"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To date, therapeutic agents seeking to active Nrf2, such as such as Bardoxolone or Tecfidera, have relied on reactive, electrophilic biological targets that may present safety and tolerability issues. Non-electrophilic activation of the Nrf2 pathway via targeting the Bach1 transcriptional repressor provides an alternative mechanism by which to increase the activation of Nrf2 to reduce the oxidative stress and inflammation associated with many acute and chronic diseases.</w:t>
      </w:r>
    </w:p>
    <w:p>
      <w:pPr>
        <w:spacing w:after="0" w:line="79"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Bach1 is a transcriptional repressor that controls the expression of certain genes involved in the body’s antioxidant response processes. Genetic knock-out models of Bach1 have shown increased expression of multiple antioxidant proteins such as heme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 w:name="page10"/>
    <w:bookmarkEnd w:id="9"/>
    <w:p>
      <w:pPr>
        <w:ind w:right="20"/>
        <w:spacing w:after="0" w:line="276" w:lineRule="auto"/>
        <w:rPr>
          <w:sz w:val="20"/>
          <w:szCs w:val="20"/>
          <w:color w:val="auto"/>
        </w:rPr>
      </w:pPr>
      <w:r>
        <w:rPr>
          <w:rFonts w:ascii="Arial" w:cs="Arial" w:eastAsia="Arial" w:hAnsi="Arial"/>
          <w:sz w:val="17"/>
          <w:szCs w:val="17"/>
          <w:color w:val="auto"/>
        </w:rPr>
        <w:t>oxygenase-1 (HMOX1), leading to a significant level of cellular, tissue and organ protection in a wide variety of mouse models. Hemin and the hemin mimetic cobalt protoporphyrin IX (“CoPP”) are Bach1 ligands that have served as useful tool compounds to investigate the role of Bach1 inhibition in a variety of disease settings. Both molecules have been shown to have beneficial effects on oxidative stress and inflammatory-mediated pathologies in a number of animal models. Further, the ubiquity of the response suggests that the observed tissue protective effects are not related to the underlying causes of a particular disease, but instead are an intrinsic outcome of Bach1 modulation along with Nrf2 activation.</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HPP3033 and HPP971</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 xml:space="preserve">Our candidates, </w:t>
      </w:r>
      <w:r>
        <w:rPr>
          <w:rFonts w:ascii="Arial" w:cs="Arial" w:eastAsia="Arial" w:hAnsi="Arial"/>
          <w:sz w:val="17"/>
          <w:szCs w:val="17"/>
          <w:i w:val="1"/>
          <w:iCs w:val="1"/>
          <w:color w:val="auto"/>
        </w:rPr>
        <w:t>HPP3033</w:t>
      </w:r>
      <w:r>
        <w:rPr>
          <w:rFonts w:ascii="Arial" w:cs="Arial" w:eastAsia="Arial" w:hAnsi="Arial"/>
          <w:sz w:val="17"/>
          <w:szCs w:val="17"/>
          <w:color w:val="auto"/>
        </w:rPr>
        <w:t xml:space="preserve"> and </w:t>
      </w:r>
      <w:r>
        <w:rPr>
          <w:rFonts w:ascii="Arial" w:cs="Arial" w:eastAsia="Arial" w:hAnsi="Arial"/>
          <w:sz w:val="17"/>
          <w:szCs w:val="17"/>
          <w:i w:val="1"/>
          <w:iCs w:val="1"/>
          <w:color w:val="auto"/>
        </w:rPr>
        <w:t>HPP971</w:t>
      </w:r>
      <w:r>
        <w:rPr>
          <w:rFonts w:ascii="Arial" w:cs="Arial" w:eastAsia="Arial" w:hAnsi="Arial"/>
          <w:sz w:val="17"/>
          <w:szCs w:val="17"/>
          <w:color w:val="auto"/>
        </w:rPr>
        <w:t xml:space="preserve">, represent a novel, non-electrophilic therapeutic approach to activating the Nrf2 pathway that has the potential to be used in the treatment of chronic diseases associated with oxidative stress. We are currently evaluating these compounds in preclinical studies as potential treatments of non-alcoholic steatohepatitis (“NASH”). </w:t>
      </w:r>
      <w:r>
        <w:rPr>
          <w:rFonts w:ascii="Arial" w:cs="Arial" w:eastAsia="Arial" w:hAnsi="Arial"/>
          <w:sz w:val="17"/>
          <w:szCs w:val="17"/>
          <w:i w:val="1"/>
          <w:iCs w:val="1"/>
          <w:color w:val="auto"/>
        </w:rPr>
        <w:t>HPP3033</w:t>
      </w:r>
      <w:r>
        <w:rPr>
          <w:rFonts w:ascii="Arial" w:cs="Arial" w:eastAsia="Arial" w:hAnsi="Arial"/>
          <w:sz w:val="17"/>
          <w:szCs w:val="17"/>
          <w:color w:val="auto"/>
        </w:rPr>
        <w:t xml:space="preserve"> is a preclinical development candidate. </w:t>
      </w:r>
      <w:r>
        <w:rPr>
          <w:rFonts w:ascii="Arial" w:cs="Arial" w:eastAsia="Arial" w:hAnsi="Arial"/>
          <w:sz w:val="17"/>
          <w:szCs w:val="17"/>
          <w:i w:val="1"/>
          <w:iCs w:val="1"/>
          <w:color w:val="auto"/>
        </w:rPr>
        <w:t>HPP971</w:t>
      </w:r>
      <w:r>
        <w:rPr>
          <w:rFonts w:ascii="Arial" w:cs="Arial" w:eastAsia="Arial" w:hAnsi="Arial"/>
          <w:sz w:val="17"/>
          <w:szCs w:val="17"/>
          <w:color w:val="auto"/>
        </w:rPr>
        <w:t xml:space="preserve"> has completed Phase 1 single ascending dose and multiple ascending dose studies, in each case showing it was well-tolerated.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Development Programs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GLP-1r Program</w:t>
      </w:r>
    </w:p>
    <w:p>
      <w:pPr>
        <w:spacing w:after="0" w:line="144"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In December 2017, we entered into a License Agreement with Hangzhou Zhongmei Huadong Pharmaceutical Co., Ltd. (“Huadong”) (the “Huadong License Agreement”), under which Huadong obtained a license to develop and commercialize the GLP-1r program in China and other Pacific Rim territories. Huadong is currently investigating TTP273 as a potential treatment for type 2 diabetes. Refer to “Business – License and Research Agreements – Huadong License Agreement” for additional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PDE4 Inhibitor Program</w:t>
      </w:r>
    </w:p>
    <w:p>
      <w:pPr>
        <w:spacing w:after="0" w:line="117" w:lineRule="exact"/>
        <w:rPr>
          <w:sz w:val="20"/>
          <w:szCs w:val="20"/>
          <w:color w:val="auto"/>
        </w:rPr>
      </w:pPr>
    </w:p>
    <w:p>
      <w:pPr>
        <w:ind w:right="20" w:firstLine="509"/>
        <w:spacing w:after="0" w:line="302" w:lineRule="auto"/>
        <w:rPr>
          <w:sz w:val="20"/>
          <w:szCs w:val="20"/>
          <w:color w:val="auto"/>
        </w:rPr>
      </w:pPr>
      <w:r>
        <w:rPr>
          <w:rFonts w:ascii="Arial" w:cs="Arial" w:eastAsia="Arial" w:hAnsi="Arial"/>
          <w:sz w:val="16"/>
          <w:szCs w:val="16"/>
          <w:color w:val="auto"/>
        </w:rPr>
        <w:t>In May 2018, we entered into a License Agreement with Newsoara Biopharma Co., Ltd., (“Newsoara”) (the “Newsoara License Agreement”), under which our novel PDE4 inhibitor (</w:t>
      </w:r>
      <w:r>
        <w:rPr>
          <w:rFonts w:ascii="Arial" w:cs="Arial" w:eastAsia="Arial" w:hAnsi="Arial"/>
          <w:sz w:val="16"/>
          <w:szCs w:val="16"/>
          <w:i w:val="1"/>
          <w:iCs w:val="1"/>
          <w:color w:val="auto"/>
        </w:rPr>
        <w:t>HPP737</w:t>
      </w:r>
      <w:r>
        <w:rPr>
          <w:rFonts w:ascii="Arial" w:cs="Arial" w:eastAsia="Arial" w:hAnsi="Arial"/>
          <w:sz w:val="16"/>
          <w:szCs w:val="16"/>
          <w:color w:val="auto"/>
        </w:rPr>
        <w:t xml:space="preserve">) was licensed to Newsoara for development in China, Hong Kong, Macau, Taiwan and other Pacific Rim territories. </w:t>
      </w:r>
      <w:r>
        <w:rPr>
          <w:rFonts w:ascii="Arial" w:cs="Arial" w:eastAsia="Arial" w:hAnsi="Arial"/>
          <w:sz w:val="16"/>
          <w:szCs w:val="16"/>
          <w:i w:val="1"/>
          <w:iCs w:val="1"/>
          <w:color w:val="auto"/>
        </w:rPr>
        <w:t>HPP737</w:t>
      </w:r>
      <w:r>
        <w:rPr>
          <w:rFonts w:ascii="Arial" w:cs="Arial" w:eastAsia="Arial" w:hAnsi="Arial"/>
          <w:sz w:val="16"/>
          <w:szCs w:val="16"/>
          <w:color w:val="auto"/>
        </w:rPr>
        <w:t xml:space="preserve"> has a low potential for emesis and is currently being investigated by Newsoara as a potential treatment for chronic obstructive pulmonary disease, a common lung condition. Refer to “Business – License and Research Agreements – Newsoara License Agreement” for additional details.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PPAR-δ Agonist Program</w:t>
      </w:r>
    </w:p>
    <w:p>
      <w:pPr>
        <w:spacing w:after="0" w:line="117" w:lineRule="exact"/>
        <w:rPr>
          <w:sz w:val="20"/>
          <w:szCs w:val="20"/>
          <w:color w:val="auto"/>
        </w:rPr>
      </w:pPr>
    </w:p>
    <w:p>
      <w:pPr>
        <w:jc w:val="both"/>
        <w:ind w:right="180" w:firstLine="509"/>
        <w:spacing w:after="0" w:line="302" w:lineRule="auto"/>
        <w:rPr>
          <w:sz w:val="20"/>
          <w:szCs w:val="20"/>
          <w:color w:val="auto"/>
        </w:rPr>
      </w:pPr>
      <w:r>
        <w:rPr>
          <w:rFonts w:ascii="Arial" w:cs="Arial" w:eastAsia="Arial" w:hAnsi="Arial"/>
          <w:sz w:val="16"/>
          <w:szCs w:val="16"/>
          <w:color w:val="auto"/>
        </w:rPr>
        <w:t xml:space="preserve">In December 2017, we entered into a License Agreement with Reneo Pharmaceuticals, Inc. (“Reneo”), under which we granted Reneo an exclusive, worldwide, sublicensable license to develop and commercialize our peroxisome proliferation activated receptor delta (PPAR-δ) agonist program, including the compound </w:t>
      </w:r>
      <w:r>
        <w:rPr>
          <w:rFonts w:ascii="Arial" w:cs="Arial" w:eastAsia="Arial" w:hAnsi="Arial"/>
          <w:sz w:val="16"/>
          <w:szCs w:val="16"/>
          <w:i w:val="1"/>
          <w:iCs w:val="1"/>
          <w:color w:val="auto"/>
        </w:rPr>
        <w:t>HPP593</w:t>
      </w:r>
      <w:r>
        <w:rPr>
          <w:rFonts w:ascii="Arial" w:cs="Arial" w:eastAsia="Arial" w:hAnsi="Arial"/>
          <w:sz w:val="16"/>
          <w:szCs w:val="16"/>
          <w:color w:val="auto"/>
        </w:rPr>
        <w:t xml:space="preserve">. Reneo is investigating </w:t>
      </w:r>
      <w:r>
        <w:rPr>
          <w:rFonts w:ascii="Arial" w:cs="Arial" w:eastAsia="Arial" w:hAnsi="Arial"/>
          <w:sz w:val="16"/>
          <w:szCs w:val="16"/>
          <w:i w:val="1"/>
          <w:iCs w:val="1"/>
          <w:color w:val="auto"/>
        </w:rPr>
        <w:t>HPP593</w:t>
      </w:r>
      <w:r>
        <w:rPr>
          <w:rFonts w:ascii="Arial" w:cs="Arial" w:eastAsia="Arial" w:hAnsi="Arial"/>
          <w:sz w:val="16"/>
          <w:szCs w:val="16"/>
          <w:color w:val="auto"/>
        </w:rPr>
        <w:t xml:space="preserve"> for the treatment of rare mitochondrial diseases and has received orphan designation for Fatty Acid Oxidation Disorder. Refer to “Business – License and Research Agreements – Reneo License Agreement” for additional details.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Suppliers and Manufacturers</w:t>
      </w:r>
    </w:p>
    <w:p>
      <w:pPr>
        <w:spacing w:after="0" w:line="121" w:lineRule="exact"/>
        <w:rPr>
          <w:sz w:val="20"/>
          <w:szCs w:val="20"/>
          <w:color w:val="auto"/>
        </w:rPr>
      </w:pPr>
    </w:p>
    <w:p>
      <w:pPr>
        <w:jc w:val="both"/>
        <w:ind w:right="180" w:firstLine="509"/>
        <w:spacing w:after="0" w:line="264"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continue to rely, on third parties to manufacture clinical supplies of our drug candidates and for our other research and discovery programs. We do not have multiple sources of supply for the components used in our Late Stage Drug Candidates and our other drug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 xml:space="preserve">The IP portfolio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includes issued patents in 20 countries and territories, including the U.S., Europe, Japan, Canada, Australia, and China, directed to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composition of matter. The issued U.S. patent covering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composition of matter will expire no earlier than 2024 but may expire as late as 2029, if we obtain and apply the maximum possible extension under the Drug Price Competition and Patent Term Restoration Act of 1984 (the “Hatch-Waxman Act”). Patents covering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composition of matter outside the United States will expire no earlier than 2023 and may expire much later as a result of patent term extensions based on patent office delays, regulatory delays, or a combination thereof. The IP portfolio for </w:t>
      </w:r>
      <w:r>
        <w:rPr>
          <w:rFonts w:ascii="Arial" w:cs="Arial" w:eastAsia="Arial" w:hAnsi="Arial"/>
          <w:sz w:val="17"/>
          <w:szCs w:val="17"/>
          <w:i w:val="1"/>
          <w:iCs w:val="1"/>
          <w:color w:val="auto"/>
        </w:rPr>
        <w:t xml:space="preserve">azeliragon </w:t>
      </w:r>
      <w:r>
        <w:rPr>
          <w:rFonts w:ascii="Arial" w:cs="Arial" w:eastAsia="Arial" w:hAnsi="Arial"/>
          <w:sz w:val="17"/>
          <w:szCs w:val="17"/>
          <w:color w:val="auto"/>
        </w:rPr>
        <w:t>also includes patent families in multiple jurisdictions covering polymorphs, salt forms, metabolites, degradation products and a synthetic precursor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methods of treatment using select dosage regimens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and methods of treating select patient populations. These additional patent families have expiration dates ranging from 2028 through potentially 2039. The issued U.S. patent covering the polymorph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used in clinical development will expire no earlier than 2028 but may expire as late as 2033, if we obtain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apply the maximum possible extension under the Hatch-Waxman Act which can only be applied to a single patent following approval.  The issued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patent covering a method of treating patients with mild Alzheimer’s disease by administering about 5 mg per day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expires in 2034.</w:t>
      </w:r>
    </w:p>
    <w:p>
      <w:pPr>
        <w:spacing w:after="0" w:line="10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 xml:space="preserve">The IP portfolio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includes issued patents in over 35 countries and territories, including the U.S., Europe, Japan, Canada, Australia, and China, directed to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composition of matter. The issued U.S. patent covering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composition of matter will expire no earlier than 2025 but may expire as late as 2030, if we obtain and apply the maximum possible extension under the Hatch-Waxman Act following approval. Patents covering </w:t>
      </w:r>
      <w:r>
        <w:rPr>
          <w:rFonts w:ascii="Arial" w:cs="Arial" w:eastAsia="Arial" w:hAnsi="Arial"/>
          <w:sz w:val="17"/>
          <w:szCs w:val="17"/>
          <w:i w:val="1"/>
          <w:iCs w:val="1"/>
          <w:color w:val="auto"/>
        </w:rPr>
        <w:t xml:space="preserve">TTP399 </w:t>
      </w:r>
      <w:r>
        <w:rPr>
          <w:rFonts w:ascii="Arial" w:cs="Arial" w:eastAsia="Arial" w:hAnsi="Arial"/>
          <w:sz w:val="17"/>
          <w:szCs w:val="17"/>
          <w:color w:val="auto"/>
        </w:rPr>
        <w:t>as a composition of matter outside the United States will expire no earlier than 2025 and may expire much later as a result of patent term extensions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patent office delays, regulatory delays, or a combination thereof. Some patents and patent applications covering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composition of matter are licensed from Novo Nordisk A/S, while others are owned by us. The IP portfolio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also includes patent families in multiple jurisdictions covering combinations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with metformin, DPP-4 inhibitors, GLP-1r agonists, or insulin, patent families covering two different solid formulations of </w:t>
      </w:r>
      <w:r>
        <w:rPr>
          <w:rFonts w:ascii="Arial" w:cs="Arial" w:eastAsia="Arial" w:hAnsi="Arial"/>
          <w:sz w:val="17"/>
          <w:szCs w:val="17"/>
          <w:i w:val="1"/>
          <w:iCs w:val="1"/>
          <w:color w:val="auto"/>
        </w:rPr>
        <w:t>TTP399</w:t>
      </w:r>
      <w:r>
        <w:rPr>
          <w:rFonts w:ascii="Arial" w:cs="Arial" w:eastAsia="Arial" w:hAnsi="Arial"/>
          <w:sz w:val="17"/>
          <w:szCs w:val="17"/>
          <w:color w:val="auto"/>
        </w:rPr>
        <w:t>, and a patent family covering methods of treating type 1 diabetics using</w:t>
      </w:r>
      <w:r>
        <w:rPr>
          <w:rFonts w:ascii="Arial" w:cs="Arial" w:eastAsia="Arial" w:hAnsi="Arial"/>
          <w:sz w:val="17"/>
          <w:szCs w:val="17"/>
          <w:i w:val="1"/>
          <w:iCs w:val="1"/>
          <w:color w:val="auto"/>
        </w:rPr>
        <w:t xml:space="preserve"> TTP399 </w:t>
      </w:r>
      <w:r>
        <w:rPr>
          <w:rFonts w:ascii="Arial" w:cs="Arial" w:eastAsia="Arial" w:hAnsi="Arial"/>
          <w:sz w:val="17"/>
          <w:szCs w:val="17"/>
          <w:color w:val="auto"/>
        </w:rPr>
        <w:t>in combination with insulin. These additional patent families have</w:t>
      </w:r>
      <w:r>
        <w:rPr>
          <w:rFonts w:ascii="Arial" w:cs="Arial" w:eastAsia="Arial" w:hAnsi="Arial"/>
          <w:sz w:val="17"/>
          <w:szCs w:val="17"/>
          <w:i w:val="1"/>
          <w:iCs w:val="1"/>
          <w:color w:val="auto"/>
        </w:rPr>
        <w:t xml:space="preserve"> </w:t>
      </w:r>
      <w:r>
        <w:rPr>
          <w:rFonts w:ascii="Arial" w:cs="Arial" w:eastAsia="Arial" w:hAnsi="Arial"/>
          <w:sz w:val="17"/>
          <w:szCs w:val="17"/>
          <w:color w:val="auto"/>
        </w:rPr>
        <w:t>expiration dates ranging from 2031 through potentially 2039.</w:t>
      </w:r>
    </w:p>
    <w:p>
      <w:pPr>
        <w:spacing w:after="0" w:line="74"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 xml:space="preserve">The IP portfolio for the GLP-1r program includes issued patents in over 35 countries and regions, including the U.S., Europe, Japan, Canada, Australia, and China, directed to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as a composition of matter. The issued U.S. patent covering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as a composition of matter will expire no earlier than 2030, and may expire as late as 2035, if we obtain and apply the maximum possible extension under the Hatch-Waxman Act following approval. Patents covering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as a composition of matter outside the United States will expire no earlier than 2030 and may expire much later as a result of patent term extensions based on patent office delays, regulatory delays, or a combination thereof. The IP portfolio for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also includes patent families in multiple jurisdictions covering combinations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and metformin, synthetic precursors to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and dosage regimens of </w:t>
      </w:r>
      <w:r>
        <w:rPr>
          <w:rFonts w:ascii="Arial" w:cs="Arial" w:eastAsia="Arial" w:hAnsi="Arial"/>
          <w:sz w:val="17"/>
          <w:szCs w:val="17"/>
          <w:i w:val="1"/>
          <w:iCs w:val="1"/>
          <w:color w:val="auto"/>
        </w:rPr>
        <w:t>TTP273</w:t>
      </w:r>
      <w:r>
        <w:rPr>
          <w:rFonts w:ascii="Arial" w:cs="Arial" w:eastAsia="Arial" w:hAnsi="Arial"/>
          <w:sz w:val="17"/>
          <w:szCs w:val="17"/>
          <w:color w:val="auto"/>
        </w:rPr>
        <w:t>. These additional patent families have expiration dates ranging from 2032 through potentially 2039.</w:t>
      </w:r>
    </w:p>
    <w:p>
      <w:pPr>
        <w:spacing w:after="0" w:line="70"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IP portfolio for the Nrf2/Bach1 program includes issued patents in over 25 countries and regions, including the U.S., Europe, Japan, Canada, Australia, and China, directed to HPP971 and HPP3033 as compositions of matter. The issued U.S. patent covering HPP971 and HPP3033 as compositions of matter will expire no earlier than 2032, and may expire as late as 2036, if we obtain and apply the maximum possible extension under the Hatch-Waxman Act following approval. Patents covering HPP971 and HPP3033 as a composition of matter outside the United States will expire no earlier than 2031 and may expire much later as a result of patent term extensions based on patent office delays, regulatory delays, or a combination thereof. The IP portfolio for the Nrf2/Bach1 program also includes patent families in multiple jurisdictions covering backup compounds, methods of use in combination with other Nrf2 activator compounds such as dimethyl fumarate and bardoxolone, methods to treat sickle cell diseases, and methods to inhibit osteoclastogenesis and treat osteoporosis. These additional patent families have expiration dates ranging from 2034 through potentially 2039.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addition to patents, we rely on trade secrets and know-how to develop and maintain our competitive position. We seek to protect our proprietary technology and processes, in part, by entering into confidentiality agreements and invention assignment agreements with our employees, consultants, scientific advisors, contractors and commercial partners. These agreements are designed to protect our proprietary information and, in the case of the invention assignment agreements, to grant us ownership of technologies that are developed by employees or through a relationship with a third party.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publicly known or be independently discovered by competitors. To the extent that our contractors use or incorporate intellectual property owned by others in their work for us, disputes may arise as to the rights in related or resulting know-how and inventions.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Reneo License Agreement</w:t>
      </w:r>
    </w:p>
    <w:p>
      <w:pPr>
        <w:spacing w:after="0" w:line="117" w:lineRule="exact"/>
        <w:rPr>
          <w:sz w:val="20"/>
          <w:szCs w:val="20"/>
          <w:color w:val="auto"/>
        </w:rPr>
      </w:pPr>
    </w:p>
    <w:p>
      <w:pPr>
        <w:ind w:right="200" w:firstLine="468"/>
        <w:spacing w:after="0" w:line="286" w:lineRule="auto"/>
        <w:rPr>
          <w:sz w:val="20"/>
          <w:szCs w:val="20"/>
          <w:color w:val="auto"/>
        </w:rPr>
      </w:pPr>
      <w:r>
        <w:rPr>
          <w:rFonts w:ascii="Arial" w:cs="Arial" w:eastAsia="Arial" w:hAnsi="Arial"/>
          <w:sz w:val="17"/>
          <w:szCs w:val="17"/>
          <w:color w:val="auto"/>
        </w:rPr>
        <w:t xml:space="preserve">On December 21, 2017, we entered into a License Agreement with Reneo Pharmaceuticals, Inc. (“Reneo”) (the “Reneo License Agreement”), under which Reneo obtained an exclusive, worldwide, sublicensable license to develop and commercialize our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w:t>
      </w:r>
    </w:p>
    <w:p>
      <w:pPr>
        <w:spacing w:after="0" w:line="57" w:lineRule="exact"/>
        <w:rPr>
          <w:sz w:val="20"/>
          <w:szCs w:val="20"/>
          <w:color w:val="auto"/>
        </w:rPr>
      </w:pPr>
    </w:p>
    <w:p>
      <w:pPr>
        <w:ind w:right="40" w:firstLine="468"/>
        <w:spacing w:after="0" w:line="257" w:lineRule="auto"/>
        <w:rPr>
          <w:sz w:val="20"/>
          <w:szCs w:val="20"/>
          <w:color w:val="auto"/>
        </w:rPr>
      </w:pPr>
      <w:r>
        <w:rPr>
          <w:rFonts w:ascii="Arial" w:cs="Arial" w:eastAsia="Arial" w:hAnsi="Arial"/>
          <w:sz w:val="18"/>
          <w:szCs w:val="18"/>
          <w:color w:val="auto"/>
        </w:rPr>
        <w:t>Under the terms of the Reneo License Agreement, Reneo paid us an initial license fee of $3.0 million. We are eligible to receive additional potential development, regulatory and sales-based milestone payments totaling up to $94.5 million. In addition, Reneo is obligated to pay us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1" w:name="page12"/>
    <w:bookmarkEnd w:id="11"/>
    <w:p>
      <w:pPr>
        <w:ind w:right="340"/>
        <w:spacing w:after="0" w:line="277" w:lineRule="auto"/>
        <w:rPr>
          <w:sz w:val="20"/>
          <w:szCs w:val="20"/>
          <w:color w:val="auto"/>
        </w:rPr>
      </w:pPr>
      <w:r>
        <w:rPr>
          <w:rFonts w:ascii="Arial" w:cs="Arial" w:eastAsia="Arial" w:hAnsi="Arial"/>
          <w:sz w:val="18"/>
          <w:szCs w:val="18"/>
          <w:color w:val="auto"/>
        </w:rPr>
        <w:t>country or a specified number of years after the first commercial sale of a licensed product in a country. In addition, we have received common stock and certain participation rights representing a minority interest in Reneo’s outstanding equity.</w:t>
      </w:r>
    </w:p>
    <w:p>
      <w:pPr>
        <w:spacing w:after="0" w:line="62" w:lineRule="exact"/>
        <w:rPr>
          <w:sz w:val="20"/>
          <w:szCs w:val="20"/>
          <w:color w:val="auto"/>
        </w:rPr>
      </w:pPr>
    </w:p>
    <w:p>
      <w:pPr>
        <w:ind w:right="320" w:firstLine="468"/>
        <w:spacing w:after="0" w:line="342" w:lineRule="auto"/>
        <w:rPr>
          <w:sz w:val="20"/>
          <w:szCs w:val="20"/>
          <w:color w:val="auto"/>
        </w:rPr>
      </w:pPr>
      <w:r>
        <w:rPr>
          <w:rFonts w:ascii="Arial" w:cs="Arial" w:eastAsia="Arial" w:hAnsi="Arial"/>
          <w:sz w:val="16"/>
          <w:szCs w:val="16"/>
          <w:color w:val="auto"/>
        </w:rPr>
        <w:t>Under the terms of the Reneo License Agreement, Reneo will be responsible for the worldwide development and commercialization of the licensed products, at its cost, and is required to use commercially reasonable efforts with respect to such development and commercialization efforts.</w:t>
      </w:r>
    </w:p>
    <w:p>
      <w:pPr>
        <w:spacing w:after="0" w:line="16" w:lineRule="exact"/>
        <w:rPr>
          <w:sz w:val="20"/>
          <w:szCs w:val="20"/>
          <w:color w:val="auto"/>
        </w:rPr>
      </w:pPr>
    </w:p>
    <w:p>
      <w:pPr>
        <w:ind w:right="60" w:firstLine="468"/>
        <w:spacing w:after="0" w:line="259" w:lineRule="auto"/>
        <w:rPr>
          <w:sz w:val="20"/>
          <w:szCs w:val="20"/>
          <w:color w:val="auto"/>
        </w:rPr>
      </w:pPr>
      <w:r>
        <w:rPr>
          <w:rFonts w:ascii="Arial" w:cs="Arial" w:eastAsia="Arial" w:hAnsi="Arial"/>
          <w:sz w:val="18"/>
          <w:szCs w:val="18"/>
          <w:color w:val="auto"/>
        </w:rPr>
        <w:t>The Reneo License Agreement, unless terminated earlier, will continue until expiration of all royalty obligations of Reneo to us. Either party may terminate the Reneo License Agreement for the other party’s uncured material breach. Reneo may terminate the Reneo License Agreement at will upon prior written notice. Upon expiration (but not earlier termination) of the Reneo License Agreement, the licenses granted to Reneo will survive on a royalty-free basis in perpetuity.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Huadong License</w:t>
      </w:r>
    </w:p>
    <w:p>
      <w:pPr>
        <w:spacing w:after="0" w:line="117" w:lineRule="exact"/>
        <w:rPr>
          <w:sz w:val="20"/>
          <w:szCs w:val="20"/>
          <w:color w:val="auto"/>
        </w:rPr>
      </w:pPr>
    </w:p>
    <w:p>
      <w:pPr>
        <w:ind w:right="400" w:firstLine="468"/>
        <w:spacing w:after="0" w:line="293" w:lineRule="auto"/>
        <w:rPr>
          <w:sz w:val="20"/>
          <w:szCs w:val="20"/>
          <w:color w:val="auto"/>
        </w:rPr>
      </w:pPr>
      <w:r>
        <w:rPr>
          <w:rFonts w:ascii="Arial" w:cs="Arial" w:eastAsia="Arial" w:hAnsi="Arial"/>
          <w:sz w:val="16"/>
          <w:szCs w:val="16"/>
          <w:color w:val="auto"/>
        </w:rPr>
        <w:t xml:space="preserve">On December 21, 2017, we entered into a License Agreement with Hangzhou Zhongmei Huadong Pharmaceutical Co., Ltd. (“Huadong”) (the “Huadong License Agreement”), under which Huadong obtained an exclusive and sublicensable license to develop and commercialize our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territories, including Australia and South Korea (collectively, the “Huadong License Territory”). Additionally, under the Huadong License Agreement, we obtained a non-exclusive, sublicensable, royalty-free license to develop and commercialize certain Huadong patent rights and know-how related to our GLP-1r program for therapeutic uses in humans or animals outside of the Huadong License Territory.</w:t>
      </w:r>
    </w:p>
    <w:p>
      <w:pPr>
        <w:spacing w:after="0" w:line="57" w:lineRule="exact"/>
        <w:rPr>
          <w:sz w:val="20"/>
          <w:szCs w:val="20"/>
          <w:color w:val="auto"/>
        </w:rPr>
      </w:pPr>
    </w:p>
    <w:p>
      <w:pPr>
        <w:ind w:right="80" w:firstLine="468"/>
        <w:spacing w:after="0" w:line="279" w:lineRule="auto"/>
        <w:rPr>
          <w:sz w:val="20"/>
          <w:szCs w:val="20"/>
          <w:color w:val="auto"/>
        </w:rPr>
      </w:pPr>
      <w:r>
        <w:rPr>
          <w:rFonts w:ascii="Arial" w:cs="Arial" w:eastAsia="Arial" w:hAnsi="Arial"/>
          <w:sz w:val="17"/>
          <w:szCs w:val="17"/>
          <w:color w:val="auto"/>
        </w:rPr>
        <w:t>Under the terms of the Huadong License Agreement, Huadong has paid us an initial license fee of $8.0 million, and we are eligible to receive potential development and regulatory milestone payments totaling up to $25.0 million, with an additional potential regulatory milestone of $20.0 million if Huadong receives regulatory approval for a central nervous system indication. In addition, we are eligible for an additional $50.0 million in potential sales-based milestones, as well as royalty payments ranging from low-single to low-double digit rates, based on tiered sales of licensed products.</w:t>
      </w:r>
    </w:p>
    <w:p>
      <w:pPr>
        <w:spacing w:after="0" w:line="63" w:lineRule="exact"/>
        <w:rPr>
          <w:sz w:val="20"/>
          <w:szCs w:val="20"/>
          <w:color w:val="auto"/>
        </w:rPr>
      </w:pPr>
    </w:p>
    <w:p>
      <w:pPr>
        <w:ind w:firstLine="468"/>
        <w:spacing w:after="0" w:line="272" w:lineRule="auto"/>
        <w:rPr>
          <w:sz w:val="20"/>
          <w:szCs w:val="20"/>
          <w:color w:val="auto"/>
        </w:rPr>
      </w:pPr>
      <w:r>
        <w:rPr>
          <w:rFonts w:ascii="Arial" w:cs="Arial" w:eastAsia="Arial" w:hAnsi="Arial"/>
          <w:sz w:val="17"/>
          <w:szCs w:val="17"/>
          <w:color w:val="auto"/>
        </w:rPr>
        <w:t xml:space="preserve">Under the Huadong License Agreement, we also have the obligation to conduct a Phase 2 multi-region clinical trial (the “Phase 2 MRCT”), should Huadong require us to do so. The Phase 2 MRCT will include sites in both the United States and the Huadong License Territory for the purpose of assessing the safety and efficacy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patients with type 2 diabetes and will be designed to satisfy the requirements of the China Food and Drug Administration necessary in order for Huadong to begin a Phase 3 clinical trial in China. We may also be responsible for contributing up to $3.0 million in connection with the Phase 2 MRCT, if it occurs. The timing and manner of satisfying vTv’s $3.0 million obligation will be negotiated in good faith during the creation of a development plan for the Phase 2 MRCT, but would be paid in multiple installments over the course of the trial. However, the expectation of when, or if, the Phase 2 MRCT trial will begin remains indeterminate.</w:t>
      </w:r>
    </w:p>
    <w:p>
      <w:pPr>
        <w:spacing w:after="0" w:line="70" w:lineRule="exact"/>
        <w:rPr>
          <w:sz w:val="20"/>
          <w:szCs w:val="20"/>
          <w:color w:val="auto"/>
        </w:rPr>
      </w:pPr>
    </w:p>
    <w:p>
      <w:pPr>
        <w:ind w:right="120" w:firstLine="468"/>
        <w:spacing w:after="0" w:line="264" w:lineRule="auto"/>
        <w:rPr>
          <w:sz w:val="20"/>
          <w:szCs w:val="20"/>
          <w:color w:val="auto"/>
        </w:rPr>
      </w:pPr>
      <w:r>
        <w:rPr>
          <w:rFonts w:ascii="Arial" w:cs="Arial" w:eastAsia="Arial" w:hAnsi="Arial"/>
          <w:sz w:val="18"/>
          <w:szCs w:val="18"/>
          <w:color w:val="auto"/>
        </w:rPr>
        <w:t>Huadong will be responsible for the development and commercialization of the licensed products in the Huadong License Territory, at its cost, and is required to use commercially reasonable efforts with respect to its development efforts. Further, Huadong is required to use commercially reasonable efforts to develop and commercialize at least one GLP-1r compound in China.</w:t>
      </w:r>
    </w:p>
    <w:p>
      <w:pPr>
        <w:spacing w:after="0" w:line="73" w:lineRule="exact"/>
        <w:rPr>
          <w:sz w:val="20"/>
          <w:szCs w:val="20"/>
          <w:color w:val="auto"/>
        </w:rPr>
      </w:pPr>
    </w:p>
    <w:p>
      <w:pPr>
        <w:ind w:right="60" w:firstLine="468"/>
        <w:spacing w:after="0" w:line="257" w:lineRule="auto"/>
        <w:rPr>
          <w:sz w:val="20"/>
          <w:szCs w:val="20"/>
          <w:color w:val="auto"/>
        </w:rPr>
      </w:pPr>
      <w:r>
        <w:rPr>
          <w:rFonts w:ascii="Arial" w:cs="Arial" w:eastAsia="Arial" w:hAnsi="Arial"/>
          <w:sz w:val="18"/>
          <w:szCs w:val="18"/>
          <w:color w:val="auto"/>
        </w:rPr>
        <w:t>The Huadong License Agreement, unless terminated earlier, will continue on a product-by-product and country-by-country basis until expiration of the royalty obligations Huadong owes to us on such licensed product, which extend until the later of the expiration of certain patent or data exclusivity rights covering such licensed product in such country or eight years after the first commercial sale of such product in such country. Either party may terminate the Huadong License Agreement for the other party’s uncured material breach. Huadong may terminate the Huadong License Agreement at will upon prior written notice, subject to certain timing restrictions related to the Phase 2 MRCT.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Newsoara License Agreement</w:t>
      </w:r>
    </w:p>
    <w:p>
      <w:pPr>
        <w:spacing w:after="0" w:line="117" w:lineRule="exact"/>
        <w:rPr>
          <w:sz w:val="20"/>
          <w:szCs w:val="20"/>
          <w:color w:val="auto"/>
        </w:rPr>
      </w:pPr>
    </w:p>
    <w:p>
      <w:pPr>
        <w:ind w:right="160" w:firstLine="468"/>
        <w:spacing w:after="0" w:line="276" w:lineRule="auto"/>
        <w:rPr>
          <w:sz w:val="20"/>
          <w:szCs w:val="20"/>
          <w:color w:val="auto"/>
        </w:rPr>
      </w:pPr>
      <w:r>
        <w:rPr>
          <w:rFonts w:ascii="Arial" w:cs="Arial" w:eastAsia="Arial" w:hAnsi="Arial"/>
          <w:sz w:val="17"/>
          <w:szCs w:val="17"/>
          <w:color w:val="auto"/>
        </w:rPr>
        <w:t xml:space="preserve">On May 31, 2018, we entered into a license agreement with Newsoara (the “Newsoara License Agreement”), under which Newsoara obtained an exclusive and sublicensable license to develop and commercialize our phosphodiesterase type 4 inhibitors (“PDE4”) program, including the compound </w:t>
      </w:r>
      <w:r>
        <w:rPr>
          <w:rFonts w:ascii="Arial" w:cs="Arial" w:eastAsia="Arial" w:hAnsi="Arial"/>
          <w:sz w:val="17"/>
          <w:szCs w:val="17"/>
          <w:i w:val="1"/>
          <w:iCs w:val="1"/>
          <w:color w:val="auto"/>
        </w:rPr>
        <w:t>HPP737</w:t>
      </w:r>
      <w:r>
        <w:rPr>
          <w:rFonts w:ascii="Arial" w:cs="Arial" w:eastAsia="Arial" w:hAnsi="Arial"/>
          <w:sz w:val="17"/>
          <w:szCs w:val="17"/>
          <w:color w:val="auto"/>
        </w:rPr>
        <w:t>, in China and other Pacific Rim territories (collectively, the “Newsoara License Territory”). Additionally, under the Newsoara License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we obtained a non-exclusive, sublicensable, royalty-free license to develop and commercialize certain Newsoara patent rights and know-how related to our PDE4 program for therapeutic uses in humans outside of the Newsoara License Territory.</w:t>
      </w:r>
    </w:p>
    <w:p>
      <w:pPr>
        <w:spacing w:after="0" w:line="64" w:lineRule="exact"/>
        <w:rPr>
          <w:sz w:val="20"/>
          <w:szCs w:val="20"/>
          <w:color w:val="auto"/>
        </w:rPr>
      </w:pPr>
    </w:p>
    <w:p>
      <w:pPr>
        <w:ind w:right="60" w:firstLine="468"/>
        <w:spacing w:after="0" w:line="255" w:lineRule="auto"/>
        <w:rPr>
          <w:sz w:val="20"/>
          <w:szCs w:val="20"/>
          <w:color w:val="auto"/>
        </w:rPr>
      </w:pPr>
      <w:r>
        <w:rPr>
          <w:rFonts w:ascii="Arial" w:cs="Arial" w:eastAsia="Arial" w:hAnsi="Arial"/>
          <w:sz w:val="18"/>
          <w:szCs w:val="18"/>
          <w:color w:val="auto"/>
        </w:rPr>
        <w:t>Under the terms of the Newsoara License Agreement, Newsoara paid us an upfront cash payment of $2.0 million. We are eligible to receive additional potential development, regulatory and sales-based milestone payments totaling up to $63.0 million. In addition, Newsoara is obligated to pay us royalty payments at high-single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ind w:right="560" w:firstLine="468"/>
        <w:spacing w:after="0" w:line="264" w:lineRule="auto"/>
        <w:rPr>
          <w:sz w:val="20"/>
          <w:szCs w:val="20"/>
          <w:color w:val="auto"/>
        </w:rPr>
      </w:pPr>
      <w:r>
        <w:rPr>
          <w:rFonts w:ascii="Arial" w:cs="Arial" w:eastAsia="Arial" w:hAnsi="Arial"/>
          <w:sz w:val="18"/>
          <w:szCs w:val="18"/>
          <w:color w:val="auto"/>
        </w:rPr>
        <w:t>Under the terms of the Newsoara License Agreement, Newsoara will be responsible for the development and commercialization of the licensed products in the Newsoara License Territory, at its cost, and is required to use commercially reasonable efforts with respect to such development and commercialization efforts.</w:t>
      </w:r>
    </w:p>
    <w:p>
      <w:pPr>
        <w:spacing w:after="0" w:line="73" w:lineRule="exact"/>
        <w:rPr>
          <w:sz w:val="20"/>
          <w:szCs w:val="20"/>
          <w:color w:val="auto"/>
        </w:rPr>
      </w:pPr>
    </w:p>
    <w:p>
      <w:pPr>
        <w:ind w:firstLine="468"/>
        <w:spacing w:after="0" w:line="259" w:lineRule="auto"/>
        <w:rPr>
          <w:sz w:val="20"/>
          <w:szCs w:val="20"/>
          <w:color w:val="auto"/>
        </w:rPr>
      </w:pPr>
      <w:r>
        <w:rPr>
          <w:rFonts w:ascii="Arial" w:cs="Arial" w:eastAsia="Arial" w:hAnsi="Arial"/>
          <w:sz w:val="18"/>
          <w:szCs w:val="18"/>
          <w:color w:val="auto"/>
        </w:rPr>
        <w:t>The Newsoara License Agreement, unless terminated earlier, will continue until expiration of all royalty obligations of Newsoara to us. Either party may terminate the Newsoara License Agreement for the other party’s uncured material breach. Newsoara may terminate the Newsoara License Agreement at will upon prior written notice. Upon expiration (but not earlier termination) of the Newsoara License Agreement the licenses granted to Newsoara will survive on a royalty-free basis in perpetuity.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 Agreement</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 xml:space="preserve">In August 2017, we entered into a research, development and commercialization agreement with JDRF International (“JDRF”) (the “JDRF Agreement”) to support the funding of the Simplici-T1 Study, an adaptive Phase 1b/2 study to explore the effects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type 1 diabetes. In February 2020, we reported positive results from the Phase 2 confirming portion of the Simplici-T1 Study. See “Our Type 1 Diabetes Program –TTP399 – Positive Phase 2 Simplici-T1 Study” above for further details.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we have the obligation to make certain milestone payments to JDRF upon the commercialization, licensing, sale or transfer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treatment for type 1 diabetes.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Novo Nordisk</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 xml:space="preserve">In February 2007, we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we obtained certain worldwide rights to Novo Nordisk’s GKA program, including rights to preclinical and clinical compounds such as </w:t>
      </w:r>
      <w:r>
        <w:rPr>
          <w:rFonts w:ascii="Arial" w:cs="Arial" w:eastAsia="Arial" w:hAnsi="Arial"/>
          <w:sz w:val="17"/>
          <w:szCs w:val="17"/>
          <w:i w:val="1"/>
          <w:iCs w:val="1"/>
          <w:color w:val="auto"/>
        </w:rPr>
        <w:t>TTP399</w:t>
      </w:r>
      <w:r>
        <w:rPr>
          <w:rFonts w:ascii="Arial" w:cs="Arial" w:eastAsia="Arial" w:hAnsi="Arial"/>
          <w:sz w:val="17"/>
          <w:szCs w:val="17"/>
          <w:color w:val="auto"/>
        </w:rPr>
        <w:t>. This agreement was amended in May 2019 to create milestone payments applicable to certain specific and non-specific areas of therapeutic use. Under the terms of the Novo License Agreement, we have additional potential developmental and regulatory milestone payments totaling up to $115.0 million for approval of a product. We are also obligated for an additional $75.0 million in potential sales-based milestones, as well as royalty payments, at mid-single digit royalty rates, based on tiered sales of commercialized licensed products.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The biopharmaceutical industry is characterized by intense competition and rapid innovation. Our potential competitors include large pharmaceutical and biotechnology companies, specialty pharmaceutical companies and generic drug companies. We believe the key competitive factors that will affect the development and commercial success of our drug candidates are efficacy, safety and tolerability profile, mechanism of action, control and predictability, convenience of dosing, price and reimbursement, and availability of comparable alternative therapies.</w:t>
      </w:r>
    </w:p>
    <w:p>
      <w:pPr>
        <w:spacing w:after="0" w:line="171"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Competing Products – Alzheimer’s Disease</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 xml:space="preserve">There are currently limited approved treatments for AD in the United States and existing therapies treat only the symptoms of the disease, rather than targeting the underlying mechanisms. The approved symptomatic AD therapies in the United States fall into two classes, AChEIs and glutamatergic modulators. If we are successful in our development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treatment of probable Alzheimer’s dementia in patients with type 2 diabetes, it would be used as a treatment of this narrower patient group rather than as a treatment of AD in all patients. Further, if it is approved, its mechanism of action may be complementary to existing standard of care, as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3" w:name="page14"/>
    <w:bookmarkEnd w:id="13"/>
    <w:p>
      <w:pPr>
        <w:ind w:right="100"/>
        <w:spacing w:after="0" w:line="286" w:lineRule="auto"/>
        <w:rPr>
          <w:sz w:val="20"/>
          <w:szCs w:val="20"/>
          <w:color w:val="auto"/>
        </w:rPr>
      </w:pPr>
      <w:r>
        <w:rPr>
          <w:rFonts w:ascii="Arial" w:cs="Arial" w:eastAsia="Arial" w:hAnsi="Arial"/>
          <w:sz w:val="17"/>
          <w:szCs w:val="17"/>
          <w:color w:val="auto"/>
        </w:rPr>
        <w:t>well as that of drug candidates with differentiated mechanisms currently in development for AD, including anti-Aβ monoclonal antibodies, BACE inhibitors, tau aggregation inhibitors and monoamine oxidase-b inhibitors. This may allow co-administration with these other drug candidates if they are successfully developed. We are not aware of any other clinical-stage RAGE inhibitor investigational products being developed for the treatment of AD.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Competing Products – Type 1 Diabetes</w:t>
      </w:r>
    </w:p>
    <w:p>
      <w:pPr>
        <w:spacing w:after="0" w:line="22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If approved, we expect that our type 1 diabetes investigational drug candidate will compete with other oral non-insulin agents that are currently being developed or which have limited approval in certain jurisdictions. These include SGLT-1/2 inhibitors, such as sotagliflozin, being developed by Lexicon and SGLT-2 inhibitors such as AstraZeneca’s dapagliflozin, both of which are approved for limited use in the European Union and Japan as well as Eli Lilly/Boehringer Ingelheim’s empagliflozin, which is not currently approved for the treatment of type 1 diabetes. None of these treatments are approved for use in type 1 diabetes in the United States.</w:t>
      </w:r>
    </w:p>
    <w:p>
      <w:pPr>
        <w:spacing w:after="0" w:line="188"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We believe that our investigational drug candidates may offer key potential advantages over these competitive products that could enable our drug candidates, if approved, to capture meaningful market share from our competitors.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 and Customers</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majority of our collaboration revenue for the years ended December 31, 2019, 2018 and 2017 is related to our licenses of certain compounds in the pre-clinical stage or clinical stage, including the Huadong License Agreement, the Reneo License Agreement and the Newsoara License</w:t>
      </w:r>
    </w:p>
    <w:p>
      <w:pPr>
        <w:ind w:right="520"/>
        <w:spacing w:after="0" w:line="261" w:lineRule="auto"/>
        <w:rPr>
          <w:sz w:val="20"/>
          <w:szCs w:val="20"/>
          <w:color w:val="auto"/>
        </w:rPr>
      </w:pPr>
      <w:r>
        <w:rPr>
          <w:rFonts w:ascii="Arial" w:cs="Arial" w:eastAsia="Arial" w:hAnsi="Arial"/>
          <w:sz w:val="18"/>
          <w:szCs w:val="18"/>
          <w:color w:val="auto"/>
        </w:rPr>
        <w:t>Agreement. Revenue recognized in these periods relates to initial consideration received in the form of upfront payments and equity interests, research activities performed by our personnel, and the achievement of development milestones.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89" w:lineRule="exact"/>
        <w:rPr>
          <w:sz w:val="20"/>
          <w:szCs w:val="20"/>
          <w:color w:val="auto"/>
        </w:rPr>
      </w:pPr>
    </w:p>
    <w:p>
      <w:pPr>
        <w:ind w:right="280" w:firstLine="749"/>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(“EU”),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185" w:lineRule="exact"/>
        <w:rPr>
          <w:sz w:val="20"/>
          <w:szCs w:val="20"/>
          <w:color w:val="auto"/>
        </w:rPr>
      </w:pPr>
    </w:p>
    <w:p>
      <w:pPr>
        <w:ind w:right="60" w:firstLine="749"/>
        <w:spacing w:after="0" w:line="272" w:lineRule="auto"/>
        <w:rPr>
          <w:sz w:val="20"/>
          <w:szCs w:val="20"/>
          <w:color w:val="auto"/>
        </w:rPr>
      </w:pPr>
      <w:r>
        <w:rPr>
          <w:rFonts w:ascii="Arial" w:cs="Arial" w:eastAsia="Arial" w:hAnsi="Arial"/>
          <w:sz w:val="17"/>
          <w:szCs w:val="17"/>
          <w:color w:val="auto"/>
        </w:rPr>
        <w:t>In the United States, drug products are regulated under the Federal Food, Drug and Cosmetic Act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Department of Justice (“DOJ”), or other government entities, including state agencies.</w:t>
      </w:r>
    </w:p>
    <w:p>
      <w:pPr>
        <w:spacing w:after="0" w:line="13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An applicant seeking approval to market and distribute a new drug in the United States generally must satisfactorily complete each of the following steps before the product candidate will be licensed by the FDA:</w:t>
      </w:r>
    </w:p>
    <w:p>
      <w:pPr>
        <w:spacing w:after="0" w:line="143" w:lineRule="exact"/>
        <w:rPr>
          <w:sz w:val="20"/>
          <w:szCs w:val="20"/>
          <w:color w:val="auto"/>
        </w:rPr>
      </w:pPr>
    </w:p>
    <w:p>
      <w:pPr>
        <w:ind w:left="1120" w:right="160" w:hanging="369"/>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(“GLP”), regulations and standards;</w:t>
      </w:r>
    </w:p>
    <w:p>
      <w:pPr>
        <w:spacing w:after="0" w:line="129" w:lineRule="exact"/>
        <w:rPr>
          <w:rFonts w:ascii="Arial" w:cs="Arial" w:eastAsia="Arial" w:hAnsi="Arial"/>
          <w:sz w:val="18"/>
          <w:szCs w:val="18"/>
          <w:color w:val="auto"/>
        </w:rPr>
      </w:pPr>
    </w:p>
    <w:p>
      <w:pPr>
        <w:ind w:left="1120" w:right="180" w:hanging="369"/>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begin;</w:t>
      </w:r>
    </w:p>
    <w:p>
      <w:pPr>
        <w:spacing w:after="0" w:line="129" w:lineRule="exact"/>
        <w:rPr>
          <w:rFonts w:ascii="Arial" w:cs="Arial" w:eastAsia="Arial" w:hAnsi="Arial"/>
          <w:sz w:val="18"/>
          <w:szCs w:val="18"/>
          <w:color w:val="auto"/>
        </w:rPr>
      </w:pPr>
    </w:p>
    <w:p>
      <w:pPr>
        <w:ind w:left="1120" w:hanging="369"/>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representing each clinical site before each clinical trial may be initiated;</w:t>
      </w:r>
    </w:p>
    <w:p>
      <w:pPr>
        <w:spacing w:after="0" w:line="196" w:lineRule="exact"/>
        <w:rPr>
          <w:rFonts w:ascii="Arial" w:cs="Arial" w:eastAsia="Arial" w:hAnsi="Arial"/>
          <w:sz w:val="17"/>
          <w:szCs w:val="17"/>
          <w:color w:val="auto"/>
        </w:rPr>
      </w:pPr>
    </w:p>
    <w:p>
      <w:pPr>
        <w:ind w:left="1120" w:right="100" w:hanging="369"/>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(“GCP”);</w:t>
      </w:r>
    </w:p>
    <w:p>
      <w:pPr>
        <w:spacing w:after="0" w:line="129" w:lineRule="exact"/>
        <w:rPr>
          <w:rFonts w:ascii="Arial" w:cs="Arial" w:eastAsia="Arial" w:hAnsi="Arial"/>
          <w:sz w:val="18"/>
          <w:szCs w:val="18"/>
          <w:color w:val="auto"/>
        </w:rPr>
      </w:pPr>
    </w:p>
    <w:p>
      <w:pPr>
        <w:ind w:left="1120" w:right="460" w:hanging="369"/>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(“NDA”), for a drug product which includes not only the results of the clinical trials, but also, detailed information on the chemistry, manufacture and quality controls for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ind w:left="1120"/>
        <w:spacing w:after="0"/>
        <w:rPr>
          <w:sz w:val="20"/>
          <w:szCs w:val="20"/>
          <w:color w:val="auto"/>
        </w:rPr>
      </w:pPr>
      <w:r>
        <w:rPr>
          <w:rFonts w:ascii="Arial" w:cs="Arial" w:eastAsia="Arial" w:hAnsi="Arial"/>
          <w:sz w:val="18"/>
          <w:szCs w:val="18"/>
          <w:color w:val="auto"/>
        </w:rPr>
        <w:t>product candidate and proposed labelling for one or more proposed indication(s);</w:t>
      </w:r>
    </w:p>
    <w:p>
      <w:pPr>
        <w:spacing w:after="0" w:line="185" w:lineRule="exact"/>
        <w:rPr>
          <w:sz w:val="20"/>
          <w:szCs w:val="20"/>
          <w:color w:val="auto"/>
        </w:rPr>
      </w:pPr>
    </w:p>
    <w:p>
      <w:pPr>
        <w:ind w:left="1120" w:hanging="36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184" w:lineRule="exact"/>
        <w:rPr>
          <w:rFonts w:ascii="Arial" w:cs="Arial" w:eastAsia="Arial" w:hAnsi="Arial"/>
          <w:sz w:val="18"/>
          <w:szCs w:val="18"/>
          <w:color w:val="auto"/>
        </w:rPr>
      </w:pPr>
    </w:p>
    <w:p>
      <w:pPr>
        <w:ind w:left="1120" w:right="180" w:hanging="369"/>
        <w:spacing w:after="0" w:line="312"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including those of third parties, at which the product candidate or components thereof are manufactured to assess compliance with current good manufacturing practice (“cGMP”) requirements and to assure that the facilities, methods and controls are adequate to preserve the product’s identity, strength, quality and purity;</w:t>
      </w:r>
    </w:p>
    <w:p>
      <w:pPr>
        <w:spacing w:after="0" w:line="106" w:lineRule="exact"/>
        <w:rPr>
          <w:rFonts w:ascii="Arial" w:cs="Arial" w:eastAsia="Arial" w:hAnsi="Arial"/>
          <w:sz w:val="16"/>
          <w:szCs w:val="16"/>
          <w:color w:val="auto"/>
        </w:rPr>
      </w:pPr>
    </w:p>
    <w:p>
      <w:pPr>
        <w:ind w:left="1120" w:right="560" w:hanging="369"/>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and the integrity of clinical data in support of the NDA;</w:t>
      </w:r>
    </w:p>
    <w:p>
      <w:pPr>
        <w:spacing w:after="0" w:line="129" w:lineRule="exact"/>
        <w:rPr>
          <w:rFonts w:ascii="Arial" w:cs="Arial" w:eastAsia="Arial" w:hAnsi="Arial"/>
          <w:sz w:val="18"/>
          <w:szCs w:val="18"/>
          <w:color w:val="auto"/>
        </w:rPr>
      </w:pPr>
    </w:p>
    <w:p>
      <w:pPr>
        <w:ind w:left="1120" w:hanging="36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184" w:lineRule="exact"/>
        <w:rPr>
          <w:rFonts w:ascii="Arial" w:cs="Arial" w:eastAsia="Arial" w:hAnsi="Arial"/>
          <w:sz w:val="18"/>
          <w:szCs w:val="18"/>
          <w:color w:val="auto"/>
        </w:rPr>
      </w:pPr>
    </w:p>
    <w:p>
      <w:pPr>
        <w:ind w:left="1120" w:right="220" w:hanging="369"/>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(“REMS”) and the potential requirement to conduct any post-approval studies required by the FDA.</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Studies</w:t>
      </w:r>
    </w:p>
    <w:p>
      <w:pPr>
        <w:spacing w:after="0" w:line="185"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Before an applicant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The IND and IRB Processes</w:t>
      </w:r>
    </w:p>
    <w:p>
      <w:pPr>
        <w:spacing w:after="0" w:line="185" w:lineRule="exact"/>
        <w:rPr>
          <w:sz w:val="20"/>
          <w:szCs w:val="20"/>
          <w:color w:val="auto"/>
        </w:rPr>
      </w:pPr>
    </w:p>
    <w:p>
      <w:pPr>
        <w:ind w:right="160" w:firstLine="749"/>
        <w:spacing w:after="0" w:line="270"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37"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5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on April 28, 2008, the FDA amended its regulations governing the acceptance of foreign clinical studies not conducted under an investigational new drug application as support for an IND or a new drug application. The final rule provides that such studies must be conducted in accordance with good clinical practice (“GCP”), including review and approval by an independent ethics committee (“IEC”), and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ind w:firstLine="749"/>
        <w:spacing w:after="0" w:line="255"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53"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6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Information about clinical trials must be submitted within specific timeframes to the National Institutes of Health (“NIH”), for public dissemination on its ClinicalTrials.gov website.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185"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2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130"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146"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160" w:lineRule="exact"/>
        <w:rPr>
          <w:sz w:val="20"/>
          <w:szCs w:val="20"/>
          <w:color w:val="auto"/>
        </w:rPr>
      </w:pPr>
    </w:p>
    <w:p>
      <w:pPr>
        <w:ind w:firstLine="749"/>
        <w:spacing w:after="0" w:line="276" w:lineRule="auto"/>
        <w:rPr>
          <w:sz w:val="20"/>
          <w:szCs w:val="20"/>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proceed if the Phase 2 clinical trials demonstrate that a dose range of the product candidate is potentially effective and has an</w:t>
      </w:r>
      <w:r>
        <w:rPr>
          <w:rFonts w:ascii="Arial" w:cs="Arial" w:eastAsia="Arial" w:hAnsi="Arial"/>
          <w:sz w:val="17"/>
          <w:szCs w:val="17"/>
          <w:i w:val="1"/>
          <w:iCs w:val="1"/>
          <w:color w:val="auto"/>
        </w:rPr>
        <w:t xml:space="preserve"> </w:t>
      </w:r>
      <w:r>
        <w:rPr>
          <w:rFonts w:ascii="Arial" w:cs="Arial" w:eastAsia="Arial" w:hAnsi="Arial"/>
          <w:sz w:val="17"/>
          <w:szCs w:val="17"/>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studies are referred to as “pivotal.”</w:t>
      </w:r>
    </w:p>
    <w:p>
      <w:pPr>
        <w:spacing w:after="0" w:line="132"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148"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product has been associated with unexpected serious harm to patients. The FDA will typically inspect one or more clinical sites to assure compliance with GCP and the integrity of the clinical data submitted.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ind w:left="760"/>
        <w:spacing w:after="0"/>
        <w:rPr>
          <w:sz w:val="20"/>
          <w:szCs w:val="20"/>
          <w:color w:val="auto"/>
        </w:rPr>
      </w:pPr>
      <w:r>
        <w:rPr>
          <w:rFonts w:ascii="Arial" w:cs="Arial" w:eastAsia="Arial" w:hAnsi="Arial"/>
          <w:sz w:val="18"/>
          <w:szCs w:val="18"/>
          <w:i w:val="1"/>
          <w:iCs w:val="1"/>
          <w:color w:val="auto"/>
        </w:rPr>
        <w:t>Special Protocol Assessment</w:t>
      </w:r>
    </w:p>
    <w:p>
      <w:pPr>
        <w:spacing w:after="0" w:line="185"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The special protocol assessment (“SPA”) process is designed to facilitate the FDA’s review and approval of drugs by allowing the FDA to evaluate the proposed design and size of Phase 3 clinical trials that are intended to form the primary basis for determining a drug product’s efficacy. Upon specific request by a clinical trial sponsor, the FDA will evaluate the protocol and respond to a sponsor’s questions regarding, among other things, primary efficacy endpoints, trial design and data analysis plans, within 45 days of receipt of the request.</w:t>
      </w:r>
    </w:p>
    <w:p>
      <w:pPr>
        <w:spacing w:after="0" w:line="160" w:lineRule="exact"/>
        <w:rPr>
          <w:sz w:val="20"/>
          <w:szCs w:val="20"/>
          <w:color w:val="auto"/>
        </w:rPr>
      </w:pPr>
    </w:p>
    <w:p>
      <w:pPr>
        <w:jc w:val="both"/>
        <w:ind w:right="40" w:firstLine="749"/>
        <w:spacing w:after="0" w:line="264" w:lineRule="auto"/>
        <w:rPr>
          <w:sz w:val="20"/>
          <w:szCs w:val="20"/>
          <w:color w:val="auto"/>
        </w:rPr>
      </w:pPr>
      <w:r>
        <w:rPr>
          <w:rFonts w:ascii="Arial" w:cs="Arial" w:eastAsia="Arial" w:hAnsi="Arial"/>
          <w:sz w:val="18"/>
          <w:szCs w:val="18"/>
          <w:color w:val="auto"/>
        </w:rPr>
        <w:t>The FDA ultimately assesses whether the protocol design and planned analysis of the trial are acceptable to support regulatory approval of the drug candidate with respect to effectiveness of the indication studied. All agreements and disagreements between the FDA and the sponsor regarding an SPA must be clearly documented in an SPA letter or the minutes of a meeting between the sponsor and the FDA.</w:t>
      </w:r>
    </w:p>
    <w:p>
      <w:pPr>
        <w:spacing w:after="0" w:line="141"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Even if the FDA agrees to the design, execution and analyses proposed in protocols reviewed under the SPA process, the FDA may revoke or alter its agreement under the following circumstances:</w:t>
      </w:r>
    </w:p>
    <w:p>
      <w:pPr>
        <w:spacing w:after="0" w:line="130" w:lineRule="exact"/>
        <w:rPr>
          <w:sz w:val="20"/>
          <w:szCs w:val="20"/>
          <w:color w:val="auto"/>
        </w:rPr>
      </w:pPr>
    </w:p>
    <w:p>
      <w:pPr>
        <w:ind w:left="740" w:hanging="367"/>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health concerns emerge that were unrecognized at the time of the protocol assessment, or the director of the review division determines that a substantial scientific issue essential to determining safety or efficacy has been identified after testing has begun;</w:t>
      </w:r>
    </w:p>
    <w:p>
      <w:pPr>
        <w:spacing w:after="0" w:line="129" w:lineRule="exact"/>
        <w:rPr>
          <w:rFonts w:ascii="Arial" w:cs="Arial" w:eastAsia="Arial" w:hAnsi="Arial"/>
          <w:sz w:val="18"/>
          <w:szCs w:val="18"/>
          <w:color w:val="auto"/>
        </w:rPr>
      </w:pPr>
    </w:p>
    <w:p>
      <w:pPr>
        <w:ind w:left="740" w:hanging="36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sponsor fails to follow a protocol that was agreed upon with the FDA; or</w:t>
      </w:r>
    </w:p>
    <w:p>
      <w:pPr>
        <w:spacing w:after="0" w:line="184" w:lineRule="exact"/>
        <w:rPr>
          <w:rFonts w:ascii="Arial" w:cs="Arial" w:eastAsia="Arial" w:hAnsi="Arial"/>
          <w:sz w:val="18"/>
          <w:szCs w:val="18"/>
          <w:color w:val="auto"/>
        </w:rPr>
      </w:pPr>
    </w:p>
    <w:p>
      <w:pPr>
        <w:ind w:left="740" w:right="1040" w:hanging="367"/>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relevant data, assumptions or information provided by the sponsor in a request for SPA change, are found to be false statements or misstatements, or are found to omit relevant facts.</w:t>
      </w:r>
    </w:p>
    <w:p>
      <w:pPr>
        <w:spacing w:after="0" w:line="130"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A documented SPA may be modified, and such modification will be deemed binding on the FDA review division, except under the circumstances described above, if FDA and the sponsor agree in writing to modify the protocol and such modification is intended to improve the study. Agreement by the FDA to the SPA does not guarantee that the results of a study conducted in accordance with the agreement will be successful or that other issues that arise may not impede approval of the investigational product.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Review and Approval of an NDA</w:t>
      </w:r>
    </w:p>
    <w:p>
      <w:pPr>
        <w:spacing w:after="0" w:line="185"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In order to obtain approval to market a drug product in the United States, a marketing application must be submitted to the FDA that provides sufficient data establishing the safety, purity and potency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purity and potency of the drug product to the satisfaction of the FDA.</w:t>
      </w:r>
    </w:p>
    <w:p>
      <w:pPr>
        <w:spacing w:after="0" w:line="149"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The NDA is a vehicle through which applicants formally propose that the FDA approve a new product for marketing and sale in the United States for one or more indications. Every new drug product candidate must be the subject of an approved NDA before it may be commercialized in the United States. Under federal law, the submission of most NDAs is subject to an application user fee, which for federal fiscal year 2020 is $2,942,965 for an application requiring clinical data. The sponsor of an approved NDA is also subject to an annual program fee, which for fiscal year 2020 is $325,424. Certain exceptions and waivers are available for some of these fees, such as an exception from the application fee for products with orphan designation and a waiver for certain small businesses.</w:t>
      </w:r>
    </w:p>
    <w:p>
      <w:pPr>
        <w:spacing w:after="0" w:line="166"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Following submission of an NDA, the FDA conducts a preliminary review of the application generally within 60 calendar days of its receipt and strives to inform the sponsor by the 74</w:t>
      </w:r>
      <w:r>
        <w:rPr>
          <w:rFonts w:ascii="Arial" w:cs="Arial" w:eastAsia="Arial" w:hAnsi="Arial"/>
          <w:sz w:val="14"/>
          <w:szCs w:val="14"/>
          <w:color w:val="auto"/>
        </w:rPr>
        <w:t>th</w:t>
      </w:r>
      <w:r>
        <w:rPr>
          <w:rFonts w:ascii="Arial" w:cs="Arial" w:eastAsia="Arial" w:hAnsi="Arial"/>
          <w:sz w:val="17"/>
          <w:szCs w:val="17"/>
          <w:color w:val="auto"/>
        </w:rPr>
        <w:t xml:space="preserve"> day after the FDA’s receipt of the submission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the Prescription Drug User Fee Act goal date may be extended by the FDA for three additional months to consider new information or clarification provided by the applicant to address an outstanding deficiency identified by the FDA following the original submission.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ind w:right="80" w:firstLine="749"/>
        <w:spacing w:after="0" w:line="272" w:lineRule="auto"/>
        <w:rPr>
          <w:sz w:val="20"/>
          <w:szCs w:val="20"/>
          <w:color w:val="auto"/>
        </w:rPr>
      </w:pPr>
      <w:r>
        <w:rPr>
          <w:rFonts w:ascii="Arial" w:cs="Arial" w:eastAsia="Arial" w:hAnsi="Arial"/>
          <w:sz w:val="17"/>
          <w:szCs w:val="17"/>
          <w:color w:val="auto"/>
        </w:rPr>
        <w:t>Before approving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13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60"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Special Expedited Review and Approval Programs</w:t>
      </w:r>
    </w:p>
    <w:p>
      <w:pPr>
        <w:spacing w:after="0" w:line="185" w:lineRule="exact"/>
        <w:rPr>
          <w:sz w:val="20"/>
          <w:szCs w:val="20"/>
          <w:color w:val="auto"/>
        </w:rPr>
      </w:pPr>
    </w:p>
    <w:p>
      <w:pPr>
        <w:jc w:val="both"/>
        <w:ind w:firstLine="749"/>
        <w:spacing w:after="0" w:line="221" w:lineRule="exact"/>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These programs are referred to as fast track designation, breakthrough therapy designation, priority review designation, regenerative advanced therapy designation and accelerated approval.</w:t>
      </w:r>
    </w:p>
    <w:p>
      <w:pPr>
        <w:spacing w:after="0" w:line="175" w:lineRule="exact"/>
        <w:rPr>
          <w:sz w:val="20"/>
          <w:szCs w:val="20"/>
          <w:color w:val="auto"/>
        </w:rPr>
      </w:pPr>
    </w:p>
    <w:p>
      <w:pPr>
        <w:ind w:right="60" w:firstLine="749"/>
        <w:spacing w:after="0" w:line="218" w:lineRule="exact"/>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w:t>
      </w:r>
      <w:r>
        <w:rPr>
          <w:rFonts w:ascii="MS PGothic" w:cs="MS PGothic" w:eastAsia="MS PGothic" w:hAnsi="MS PGothic"/>
          <w:sz w:val="17"/>
          <w:szCs w:val="17"/>
          <w:color w:val="auto"/>
        </w:rPr>
        <w:t>‑</w:t>
      </w:r>
      <w:r>
        <w:rPr>
          <w:rFonts w:ascii="Arial" w:cs="Arial" w:eastAsia="Arial" w:hAnsi="Arial"/>
          <w:sz w:val="17"/>
          <w:szCs w:val="17"/>
          <w:color w:val="auto"/>
        </w:rPr>
        <w:t xml:space="preserve">threatening disease or condition, and it demonstrates the potential to address unmet medical needs for such a disease or condition. We have obtained Fast Track designation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for the treatment of dementia of the Alzheimer’s type.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63" w:lineRule="exact"/>
        <w:rPr>
          <w:sz w:val="20"/>
          <w:szCs w:val="20"/>
          <w:color w:val="auto"/>
        </w:rPr>
      </w:pPr>
    </w:p>
    <w:p>
      <w:pPr>
        <w:ind w:firstLine="749"/>
        <w:spacing w:after="0" w:line="218" w:lineRule="exact"/>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w:t>
      </w:r>
      <w:r>
        <w:rPr>
          <w:rFonts w:ascii="MS PGothic" w:cs="MS PGothic" w:eastAsia="MS PGothic" w:hAnsi="MS PGothic"/>
          <w:sz w:val="16"/>
          <w:szCs w:val="16"/>
          <w:color w:val="auto"/>
        </w:rPr>
        <w:t>‑</w:t>
      </w:r>
      <w:r>
        <w:rPr>
          <w:rFonts w:ascii="Arial" w:cs="Arial" w:eastAsia="Arial" w:hAnsi="Arial"/>
          <w:sz w:val="16"/>
          <w:szCs w:val="16"/>
          <w:color w:val="auto"/>
        </w:rPr>
        <w:t>disciplinary project lead for the review team; and taking other steps to design the clinical trials in an efficient manner.</w:t>
      </w:r>
    </w:p>
    <w:p>
      <w:pPr>
        <w:spacing w:after="0" w:line="166" w:lineRule="exact"/>
        <w:rPr>
          <w:sz w:val="20"/>
          <w:szCs w:val="20"/>
          <w:color w:val="auto"/>
        </w:rPr>
      </w:pPr>
    </w:p>
    <w:p>
      <w:pPr>
        <w:ind w:right="240" w:firstLine="749"/>
        <w:spacing w:after="0" w:line="218" w:lineRule="exact"/>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approved, would provide a significant improvement in safety or effectiveness. The FDA determines, on a case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w:t>
      </w:r>
      <w:r>
        <w:rPr>
          <w:rFonts w:ascii="MS PGothic" w:cs="MS PGothic" w:eastAsia="MS PGothic" w:hAnsi="MS PGothic"/>
          <w:sz w:val="18"/>
          <w:szCs w:val="18"/>
          <w:color w:val="auto"/>
        </w:rPr>
        <w:t>‑</w:t>
      </w:r>
      <w:r>
        <w:rPr>
          <w:rFonts w:ascii="Arial" w:cs="Arial" w:eastAsia="Arial" w:hAnsi="Arial"/>
          <w:sz w:val="18"/>
          <w:szCs w:val="18"/>
          <w:color w:val="auto"/>
        </w:rPr>
        <w: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80"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With passage of the 21st Century Cures Act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right="20" w:firstLine="749"/>
        <w:spacing w:after="0" w:line="218" w:lineRule="exact"/>
        <w:rPr>
          <w:sz w:val="20"/>
          <w:szCs w:val="20"/>
          <w:color w:val="auto"/>
        </w:rPr>
      </w:pPr>
      <w:r>
        <w:rPr>
          <w:rFonts w:ascii="Arial" w:cs="Arial" w:eastAsia="Arial" w:hAnsi="Arial"/>
          <w:sz w:val="18"/>
          <w:szCs w:val="18"/>
          <w:color w:val="auto"/>
        </w:rPr>
        <w:t>Finally, the FDA may grant accelerated approval to a product for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 The accelerated approval pathway is usually contingent on a sponsor’s agreement to conduct, in a diligent manner, additional post</w:t>
      </w:r>
      <w:r>
        <w:rPr>
          <w:rFonts w:ascii="MS PGothic" w:cs="MS PGothic" w:eastAsia="MS PGothic" w:hAnsi="MS PGothic"/>
          <w:sz w:val="18"/>
          <w:szCs w:val="18"/>
          <w:color w:val="auto"/>
        </w:rPr>
        <w:t>‑</w:t>
      </w:r>
      <w:r>
        <w:rPr>
          <w:rFonts w:ascii="Arial" w:cs="Arial" w:eastAsia="Arial" w:hAnsi="Arial"/>
          <w:sz w:val="18"/>
          <w:szCs w:val="18"/>
          <w:color w:val="auto"/>
        </w:rPr>
        <w:t>approval confirmatory studies to verify and describe the product’s clinical benefit.</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Orphan Drug Designation.</w:t>
      </w:r>
    </w:p>
    <w:p>
      <w:pPr>
        <w:spacing w:after="0" w:line="198"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Under the Orphan Drug Act, as amended, the FDA may grant orphan drug designations (ODD) to a drug intended to treat a rare disease or condition, which is a disease or condition that affects fewer than 200,000 individuals in the U.S. or for which there is no reasonable expectation of recovering drug development costs in the U.S. from sales in the U.S. ODD must be requested before submitting an NDA. After the FDA grants ODD, the identity of the therapeutic agent and its potential orphan use are disclosed publicly by the FDA. We intend to request ODD designation for certain of our product candidates, if applicable. For example, we intend to request ODD for TTP273 for the treatment of CFRD, however there is no guarantee that the FDA would approve such request.</w:t>
      </w:r>
    </w:p>
    <w:p>
      <w:pPr>
        <w:spacing w:after="0" w:line="153" w:lineRule="exact"/>
        <w:rPr>
          <w:sz w:val="20"/>
          <w:szCs w:val="20"/>
          <w:color w:val="auto"/>
        </w:rPr>
      </w:pPr>
    </w:p>
    <w:p>
      <w:pPr>
        <w:ind w:right="40" w:firstLine="749"/>
        <w:spacing w:after="0" w:line="276" w:lineRule="auto"/>
        <w:rPr>
          <w:sz w:val="20"/>
          <w:szCs w:val="20"/>
          <w:color w:val="auto"/>
        </w:rPr>
      </w:pPr>
      <w:r>
        <w:rPr>
          <w:rFonts w:ascii="Arial" w:cs="Arial" w:eastAsia="Arial" w:hAnsi="Arial"/>
          <w:sz w:val="17"/>
          <w:szCs w:val="17"/>
          <w:color w:val="auto"/>
        </w:rPr>
        <w:t>If a product that has ODD subsequently receives the first FDA approval for the disease for which it has such designation, the product is entitled to orphan drug exclusivity, which means that the FDA may not approve for seven years any other applications, including a full NDA, to market the same orphan drug for the same indication, except in limited circumstances. For purposes of small molecule drugs, the FDA defines “same drug” as a drug that contains the same active moiety and is intended for the same use as the previously approved orphan drug. Notwithstanding the above, a drug that is clinically superior to an orphan drug will not be considered the “same drug” and thus will not be blocked by orphan drug exclusivity.</w:t>
      </w:r>
    </w:p>
    <w:p>
      <w:pPr>
        <w:spacing w:after="0" w:line="13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as such designation may have been amended by the FDA. In addition, orphan drug exclusive marketing rights in the U.S. may be lost if the FDA later determines that the request for designation was materially defective or if the manufacturer is unable to assure sufficient quantities of the drug to meet the needs of patients with the rare disease or condition.</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The FDA’s Decision on an NDA</w:t>
      </w:r>
    </w:p>
    <w:p>
      <w:pPr>
        <w:spacing w:after="0" w:line="185"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37"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If the FDA approves a new product, it may limit the approved indications for use of the product.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Post-Approval Regulation</w:t>
      </w:r>
    </w:p>
    <w:p>
      <w:pPr>
        <w:spacing w:after="0" w:line="185"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right="20"/>
        <w:spacing w:after="0" w:line="308" w:lineRule="auto"/>
        <w:rPr>
          <w:sz w:val="20"/>
          <w:szCs w:val="20"/>
          <w:color w:val="auto"/>
        </w:rPr>
      </w:pPr>
      <w:r>
        <w:rPr>
          <w:rFonts w:ascii="Arial" w:cs="Arial" w:eastAsia="Arial" w:hAnsi="Arial"/>
          <w:sz w:val="17"/>
          <w:szCs w:val="17"/>
          <w:color w:val="auto"/>
        </w:rPr>
        <w:t>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106" w:lineRule="exact"/>
        <w:rPr>
          <w:sz w:val="20"/>
          <w:szCs w:val="20"/>
          <w:color w:val="auto"/>
        </w:rPr>
      </w:pPr>
    </w:p>
    <w:p>
      <w:pPr>
        <w:ind w:right="120" w:firstLine="749"/>
        <w:spacing w:after="0" w:line="276"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46" w:lineRule="exact"/>
        <w:rPr>
          <w:sz w:val="20"/>
          <w:szCs w:val="20"/>
          <w:color w:val="auto"/>
        </w:rPr>
      </w:pPr>
    </w:p>
    <w:p>
      <w:pPr>
        <w:ind w:right="20" w:firstLine="749"/>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132" w:lineRule="exact"/>
        <w:rPr>
          <w:sz w:val="20"/>
          <w:szCs w:val="20"/>
          <w:color w:val="auto"/>
        </w:rPr>
      </w:pPr>
    </w:p>
    <w:p>
      <w:pPr>
        <w:ind w:left="1120" w:hanging="369"/>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96" w:lineRule="exact"/>
        <w:rPr>
          <w:rFonts w:ascii="Arial" w:cs="Arial" w:eastAsia="Arial" w:hAnsi="Arial"/>
          <w:sz w:val="17"/>
          <w:szCs w:val="17"/>
          <w:color w:val="auto"/>
        </w:rPr>
      </w:pPr>
    </w:p>
    <w:p>
      <w:pPr>
        <w:ind w:left="1120" w:hanging="369"/>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84" w:lineRule="exact"/>
        <w:rPr>
          <w:rFonts w:ascii="Arial" w:cs="Arial" w:eastAsia="Arial" w:hAnsi="Arial"/>
          <w:sz w:val="18"/>
          <w:szCs w:val="18"/>
          <w:color w:val="auto"/>
        </w:rPr>
      </w:pPr>
    </w:p>
    <w:p>
      <w:pPr>
        <w:ind w:left="1120" w:right="180" w:hanging="369"/>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29" w:lineRule="exact"/>
        <w:rPr>
          <w:rFonts w:ascii="Arial" w:cs="Arial" w:eastAsia="Arial" w:hAnsi="Arial"/>
          <w:sz w:val="18"/>
          <w:szCs w:val="18"/>
          <w:color w:val="auto"/>
        </w:rPr>
      </w:pPr>
    </w:p>
    <w:p>
      <w:pPr>
        <w:ind w:left="1120" w:hanging="369"/>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84" w:lineRule="exact"/>
        <w:rPr>
          <w:rFonts w:ascii="Arial" w:cs="Arial" w:eastAsia="Arial" w:hAnsi="Arial"/>
          <w:sz w:val="18"/>
          <w:szCs w:val="18"/>
          <w:color w:val="auto"/>
        </w:rPr>
      </w:pPr>
    </w:p>
    <w:p>
      <w:pPr>
        <w:ind w:left="1120" w:hanging="369"/>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100" w:firstLine="749"/>
        <w:spacing w:after="0" w:line="270" w:lineRule="auto"/>
        <w:rPr>
          <w:sz w:val="20"/>
          <w:szCs w:val="20"/>
          <w:color w:val="auto"/>
        </w:rPr>
      </w:pPr>
      <w:r>
        <w:rPr>
          <w:rFonts w:ascii="Arial" w:cs="Arial" w:eastAsia="Arial" w:hAnsi="Arial"/>
          <w:sz w:val="17"/>
          <w:szCs w:val="17"/>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41"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If a company is found to have promoted off-label uses, it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6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and its implementing regulations, as well as the Drug Supply Chain Security Act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Section 505(b)(2) NDAs</w:t>
      </w:r>
    </w:p>
    <w:p>
      <w:pPr>
        <w:spacing w:after="0" w:line="185" w:lineRule="exact"/>
        <w:rPr>
          <w:sz w:val="20"/>
          <w:szCs w:val="20"/>
          <w:color w:val="auto"/>
        </w:rPr>
      </w:pPr>
    </w:p>
    <w:p>
      <w:pPr>
        <w:ind w:right="160" w:firstLine="749"/>
        <w:spacing w:after="0" w:line="264" w:lineRule="auto"/>
        <w:rPr>
          <w:sz w:val="20"/>
          <w:szCs w:val="20"/>
          <w:color w:val="auto"/>
        </w:rPr>
      </w:pPr>
      <w:r>
        <w:rPr>
          <w:rFonts w:ascii="Arial" w:cs="Arial" w:eastAsia="Arial" w:hAnsi="Arial"/>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0" w:name="page21"/>
    <w:bookmarkEnd w:id="20"/>
    <w:p>
      <w:pPr>
        <w:ind w:right="20"/>
        <w:spacing w:after="0" w:line="259" w:lineRule="auto"/>
        <w:rPr>
          <w:sz w:val="20"/>
          <w:szCs w:val="20"/>
          <w:color w:val="auto"/>
        </w:rPr>
      </w:pPr>
      <w:r>
        <w:rPr>
          <w:rFonts w:ascii="Arial" w:cs="Arial" w:eastAsia="Arial" w:hAnsi="Arial"/>
          <w:sz w:val="18"/>
          <w:szCs w:val="18"/>
          <w:color w:val="auto"/>
        </w:rPr>
        <w:t>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46"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85"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In 1984, with passage of the Hatch-Waxman Amendments to the FDCA (“Hatch-Waxman Act”),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(“RLD”).</w:t>
      </w:r>
    </w:p>
    <w:p>
      <w:pPr>
        <w:spacing w:after="0" w:line="138" w:lineRule="exact"/>
        <w:rPr>
          <w:sz w:val="20"/>
          <w:szCs w:val="20"/>
          <w:color w:val="auto"/>
        </w:rPr>
      </w:pPr>
    </w:p>
    <w:p>
      <w:pPr>
        <w:ind w:right="120" w:firstLine="749"/>
        <w:spacing w:after="0" w:line="290"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39"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Under the Hatch-Waxman Act,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38"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37" w:lineRule="exact"/>
        <w:rPr>
          <w:sz w:val="20"/>
          <w:szCs w:val="20"/>
          <w:color w:val="auto"/>
        </w:rPr>
      </w:pPr>
    </w:p>
    <w:p>
      <w:pPr>
        <w:ind w:right="140" w:firstLine="749"/>
        <w:spacing w:after="0" w:line="302" w:lineRule="auto"/>
        <w:rPr>
          <w:sz w:val="20"/>
          <w:szCs w:val="20"/>
          <w:color w:val="auto"/>
        </w:rPr>
      </w:pPr>
      <w:r>
        <w:rPr>
          <w:rFonts w:ascii="Arial" w:cs="Arial" w:eastAsia="Arial" w:hAnsi="Arial"/>
          <w:sz w:val="16"/>
          <w:szCs w:val="16"/>
          <w:color w:val="auto"/>
        </w:rPr>
        <w:t>The FDA must establish a priority review track for certain generic drugs, requiring the FDA to review a drug application within eight (8) months for a drug that has three (3) or fewer approved drugs listed in the Orange Book and is no longer protected by any patent or regulatory exclusivities, or is on the FDA’s drug shortage list. The new legislation also authorizes FDA to expedite review of “competitor generic therapies” or drugs with inadequate generic competition, including holding meetings with or providing advice to the drug sponsor prior to submission of the application.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left="760"/>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185"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Specifically, the ANDA applicant must certify with respect to each patent that:</w:t>
      </w:r>
    </w:p>
    <w:p>
      <w:pPr>
        <w:spacing w:after="0" w:line="185" w:lineRule="exact"/>
        <w:rPr>
          <w:sz w:val="20"/>
          <w:szCs w:val="20"/>
          <w:color w:val="auto"/>
        </w:rPr>
      </w:pPr>
    </w:p>
    <w:p>
      <w:pPr>
        <w:ind w:left="1520" w:hanging="763"/>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84" w:lineRule="exact"/>
        <w:rPr>
          <w:rFonts w:ascii="Arial" w:cs="Arial" w:eastAsia="Arial" w:hAnsi="Arial"/>
          <w:sz w:val="18"/>
          <w:szCs w:val="18"/>
          <w:color w:val="auto"/>
        </w:rPr>
      </w:pPr>
    </w:p>
    <w:p>
      <w:pPr>
        <w:ind w:left="1520" w:hanging="763"/>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98" w:lineRule="exact"/>
        <w:rPr>
          <w:rFonts w:ascii="Arial" w:cs="Arial" w:eastAsia="Arial" w:hAnsi="Arial"/>
          <w:sz w:val="18"/>
          <w:szCs w:val="18"/>
          <w:color w:val="auto"/>
        </w:rPr>
      </w:pPr>
    </w:p>
    <w:p>
      <w:pPr>
        <w:ind w:left="1520" w:hanging="763"/>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84" w:lineRule="exact"/>
        <w:rPr>
          <w:rFonts w:ascii="Arial" w:cs="Arial" w:eastAsia="Arial" w:hAnsi="Arial"/>
          <w:sz w:val="18"/>
          <w:szCs w:val="18"/>
          <w:color w:val="auto"/>
        </w:rPr>
      </w:pPr>
    </w:p>
    <w:p>
      <w:pPr>
        <w:ind w:left="1520" w:hanging="763"/>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185"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ANDA applicant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applicant is not seeking approval).</w:t>
      </w:r>
    </w:p>
    <w:p>
      <w:pPr>
        <w:spacing w:after="0" w:line="160" w:lineRule="exact"/>
        <w:rPr>
          <w:sz w:val="20"/>
          <w:szCs w:val="20"/>
          <w:color w:val="auto"/>
        </w:rPr>
      </w:pPr>
    </w:p>
    <w:p>
      <w:pPr>
        <w:ind w:right="120" w:firstLine="749"/>
        <w:spacing w:after="0" w:line="276" w:lineRule="auto"/>
        <w:rPr>
          <w:sz w:val="20"/>
          <w:szCs w:val="20"/>
          <w:color w:val="auto"/>
        </w:rPr>
      </w:pPr>
      <w:r>
        <w:rPr>
          <w:rFonts w:ascii="Arial" w:cs="Arial" w:eastAsia="Arial" w:hAnsi="Arial"/>
          <w:sz w:val="17"/>
          <w:szCs w:val="17"/>
          <w:color w:val="auto"/>
        </w:rPr>
        <w:t>If the ANDA applicant has provided a Paragraph IV certification to the FDA, the ANDA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32"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98"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A U.S. patent claiming a new drug product may be eligible for a limited patent term extension under the Hatch-Waxman Act, which permits a patent restoration of up to five years for patent term lost during product development and the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85"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60" w:lineRule="exact"/>
        <w:rPr>
          <w:sz w:val="20"/>
          <w:szCs w:val="20"/>
          <w:color w:val="auto"/>
        </w:rPr>
      </w:pPr>
    </w:p>
    <w:p>
      <w:pPr>
        <w:jc w:val="center"/>
        <w:ind w:left="5620" w:right="1500" w:hanging="4869"/>
        <w:spacing w:after="0" w:line="731" w:lineRule="auto"/>
        <w:tabs>
          <w:tab w:leader="none" w:pos="11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left="1120" w:right="180"/>
        <w:spacing w:after="0" w:line="264" w:lineRule="auto"/>
        <w:rPr>
          <w:sz w:val="20"/>
          <w:szCs w:val="20"/>
          <w:color w:val="auto"/>
        </w:rPr>
      </w:pPr>
      <w:r>
        <w:rPr>
          <w:rFonts w:ascii="Arial" w:cs="Arial" w:eastAsia="Arial" w:hAnsi="Arial"/>
          <w:sz w:val="18"/>
          <w:szCs w:val="18"/>
          <w:color w:val="auto"/>
        </w:rPr>
        <w:t>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41" w:lineRule="exact"/>
        <w:rPr>
          <w:sz w:val="20"/>
          <w:szCs w:val="20"/>
          <w:color w:val="auto"/>
        </w:rPr>
      </w:pPr>
    </w:p>
    <w:p>
      <w:pPr>
        <w:ind w:left="1120" w:right="340" w:hanging="369"/>
        <w:spacing w:after="0" w:line="259"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46" w:lineRule="exact"/>
        <w:rPr>
          <w:rFonts w:ascii="Arial" w:cs="Arial" w:eastAsia="Arial" w:hAnsi="Arial"/>
          <w:sz w:val="18"/>
          <w:szCs w:val="18"/>
          <w:color w:val="auto"/>
        </w:rPr>
      </w:pPr>
    </w:p>
    <w:p>
      <w:pPr>
        <w:ind w:left="1120" w:right="540" w:hanging="369"/>
        <w:spacing w:after="0" w:line="264"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40" w:lineRule="exact"/>
        <w:rPr>
          <w:rFonts w:ascii="Arial" w:cs="Arial" w:eastAsia="Arial" w:hAnsi="Arial"/>
          <w:sz w:val="18"/>
          <w:szCs w:val="18"/>
          <w:color w:val="auto"/>
        </w:rPr>
      </w:pPr>
    </w:p>
    <w:p>
      <w:pPr>
        <w:ind w:left="1120" w:right="160" w:hanging="369"/>
        <w:spacing w:after="0" w:line="286" w:lineRule="auto"/>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25" w:lineRule="exact"/>
        <w:rPr>
          <w:rFonts w:ascii="Arial" w:cs="Arial" w:eastAsia="Arial" w:hAnsi="Arial"/>
          <w:sz w:val="17"/>
          <w:szCs w:val="17"/>
          <w:color w:val="auto"/>
        </w:rPr>
      </w:pPr>
    </w:p>
    <w:p>
      <w:pPr>
        <w:ind w:left="1120" w:right="220" w:hanging="369"/>
        <w:spacing w:after="0" w:line="308" w:lineRule="auto"/>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06" w:lineRule="exact"/>
        <w:rPr>
          <w:rFonts w:ascii="Arial" w:cs="Arial" w:eastAsia="Arial" w:hAnsi="Arial"/>
          <w:sz w:val="17"/>
          <w:szCs w:val="17"/>
          <w:color w:val="auto"/>
        </w:rPr>
      </w:pPr>
    </w:p>
    <w:p>
      <w:pPr>
        <w:ind w:left="1120" w:hanging="369"/>
        <w:spacing w:after="0" w:line="297"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the Affordable Care Act, which requires certain manufacturers of drugs, devices, biologics and medical supplies to report annually to the Centers for Medicare &amp; Medicaid Services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17" w:lineRule="exact"/>
        <w:rPr>
          <w:rFonts w:ascii="Arial" w:cs="Arial" w:eastAsia="Arial" w:hAnsi="Arial"/>
          <w:sz w:val="16"/>
          <w:szCs w:val="16"/>
          <w:color w:val="auto"/>
        </w:rPr>
      </w:pPr>
    </w:p>
    <w:p>
      <w:pPr>
        <w:ind w:left="1120" w:right="240" w:hanging="369"/>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30" w:lineRule="exact"/>
        <w:rPr>
          <w:sz w:val="20"/>
          <w:szCs w:val="20"/>
          <w:color w:val="auto"/>
        </w:rPr>
      </w:pPr>
    </w:p>
    <w:p>
      <w:pPr>
        <w:ind w:right="60" w:firstLine="794"/>
        <w:spacing w:after="0" w:line="302"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14" w:lineRule="exact"/>
        <w:rPr>
          <w:sz w:val="20"/>
          <w:szCs w:val="20"/>
          <w:color w:val="auto"/>
        </w:rPr>
      </w:pPr>
    </w:p>
    <w:p>
      <w:pPr>
        <w:ind w:right="80" w:firstLine="749"/>
        <w:spacing w:after="0" w:line="276" w:lineRule="auto"/>
        <w:rPr>
          <w:sz w:val="20"/>
          <w:szCs w:val="20"/>
          <w:color w:val="auto"/>
        </w:rPr>
      </w:pPr>
      <w:r>
        <w:rPr>
          <w:rFonts w:ascii="Arial" w:cs="Arial" w:eastAsia="Arial" w:hAnsi="Arial"/>
          <w:sz w:val="17"/>
          <w:szCs w:val="17"/>
          <w:color w:val="auto"/>
        </w:rPr>
        <w:t>Finally, based on the conduct of some of our clinical trials internationally, we are also subject to the Foreign Corrupt Practices Act that prohibits payments to foreign public officials relating to official acts. In addition to its prohibition on bribery of foreign government officials, the Act requires companies to maintain accurate records and have vigorous internal controls. The DOJ and SEC have made FCPA enforcement a high priority. In addition, other anti-corruption laws such as the UK Bribery Act are even broader than the FCPA in that they apply to bribes offered to any person, not just government officials. There are significant criminal and civil penalties and fines that attach to violations of the FCPA.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185" w:lineRule="exact"/>
        <w:rPr>
          <w:sz w:val="20"/>
          <w:szCs w:val="20"/>
          <w:color w:val="auto"/>
        </w:rPr>
      </w:pPr>
    </w:p>
    <w:p>
      <w:pPr>
        <w:ind w:right="60" w:firstLine="749"/>
        <w:spacing w:after="0" w:line="289"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ind w:firstLine="749"/>
        <w:spacing w:after="0" w:line="270"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that we may develop could reduce physician utilization of such product candidate once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w:t>
      </w:r>
    </w:p>
    <w:p>
      <w:pPr>
        <w:spacing w:after="0" w:line="141"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62" w:lineRule="exact"/>
        <w:rPr>
          <w:sz w:val="20"/>
          <w:szCs w:val="20"/>
          <w:color w:val="auto"/>
        </w:rPr>
      </w:pPr>
    </w:p>
    <w:p>
      <w:pPr>
        <w:ind w:firstLine="749"/>
        <w:spacing w:after="0" w:line="297" w:lineRule="auto"/>
        <w:rPr>
          <w:sz w:val="20"/>
          <w:szCs w:val="20"/>
          <w:color w:val="auto"/>
        </w:rPr>
      </w:pPr>
      <w:r>
        <w:rPr>
          <w:rFonts w:ascii="Arial" w:cs="Arial" w:eastAsia="Arial" w:hAnsi="Arial"/>
          <w:sz w:val="16"/>
          <w:szCs w:val="16"/>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 In March 2010, the Patient Protection and Affordable Care Act, as amended by the Health Care and Education Reconciliation Act (collectively, the “ACA”) was enacted, which includes measures that have significantly changed health care financing by both governmental and private insurers. The provisions of the ACA of importance to the pharmaceutical and biotechnology industry are, among others, the following:</w:t>
      </w:r>
    </w:p>
    <w:p>
      <w:pPr>
        <w:spacing w:after="0" w:line="118" w:lineRule="exact"/>
        <w:rPr>
          <w:sz w:val="20"/>
          <w:szCs w:val="20"/>
          <w:color w:val="auto"/>
        </w:rPr>
      </w:pPr>
    </w:p>
    <w:p>
      <w:pPr>
        <w:ind w:left="1120" w:right="140" w:hanging="369"/>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 agents or biologic agents, which is apportioned among these entities according to their market share in certain government health care programs;</w:t>
      </w:r>
    </w:p>
    <w:p>
      <w:pPr>
        <w:spacing w:after="0" w:line="129" w:lineRule="exact"/>
        <w:rPr>
          <w:rFonts w:ascii="Arial" w:cs="Arial" w:eastAsia="Arial" w:hAnsi="Arial"/>
          <w:sz w:val="18"/>
          <w:szCs w:val="18"/>
          <w:color w:val="auto"/>
        </w:rPr>
      </w:pPr>
    </w:p>
    <w:p>
      <w:pPr>
        <w:ind w:left="1120" w:right="140" w:hanging="369"/>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23.1% and 13% of the average manufacturer price for branded and generic drugs, respectively;</w:t>
      </w:r>
    </w:p>
    <w:p>
      <w:pPr>
        <w:spacing w:after="0" w:line="129" w:lineRule="exact"/>
        <w:rPr>
          <w:rFonts w:ascii="Arial" w:cs="Arial" w:eastAsia="Arial" w:hAnsi="Arial"/>
          <w:sz w:val="18"/>
          <w:szCs w:val="18"/>
          <w:color w:val="auto"/>
        </w:rPr>
      </w:pPr>
    </w:p>
    <w:p>
      <w:pPr>
        <w:ind w:left="1120" w:right="80" w:hanging="369"/>
        <w:spacing w:after="0" w:line="264"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140" w:lineRule="exact"/>
        <w:rPr>
          <w:rFonts w:ascii="Arial" w:cs="Arial" w:eastAsia="Arial" w:hAnsi="Arial"/>
          <w:sz w:val="18"/>
          <w:szCs w:val="18"/>
          <w:color w:val="auto"/>
        </w:rPr>
      </w:pPr>
    </w:p>
    <w:p>
      <w:pPr>
        <w:ind w:left="1120" w:right="220" w:hanging="369"/>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unless the drug is subject to discounts under the 340B drug discount program;</w:t>
      </w:r>
    </w:p>
    <w:p>
      <w:pPr>
        <w:spacing w:after="0" w:line="129" w:lineRule="exact"/>
        <w:rPr>
          <w:rFonts w:ascii="Arial" w:cs="Arial" w:eastAsia="Arial" w:hAnsi="Arial"/>
          <w:sz w:val="18"/>
          <w:szCs w:val="18"/>
          <w:color w:val="auto"/>
        </w:rPr>
      </w:pPr>
    </w:p>
    <w:p>
      <w:pPr>
        <w:ind w:left="1120" w:right="480" w:hanging="369"/>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29" w:lineRule="exact"/>
        <w:rPr>
          <w:rFonts w:ascii="Arial" w:cs="Arial" w:eastAsia="Arial" w:hAnsi="Arial"/>
          <w:sz w:val="18"/>
          <w:szCs w:val="18"/>
          <w:color w:val="auto"/>
        </w:rPr>
      </w:pPr>
    </w:p>
    <w:p>
      <w:pPr>
        <w:ind w:left="1120" w:right="240" w:hanging="369"/>
        <w:spacing w:after="0" w:line="264"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40" w:lineRule="exact"/>
        <w:rPr>
          <w:rFonts w:ascii="Arial" w:cs="Arial" w:eastAsia="Arial" w:hAnsi="Arial"/>
          <w:sz w:val="18"/>
          <w:szCs w:val="18"/>
          <w:color w:val="auto"/>
        </w:rPr>
      </w:pPr>
    </w:p>
    <w:p>
      <w:pPr>
        <w:ind w:left="1120" w:hanging="369"/>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84" w:lineRule="exact"/>
        <w:rPr>
          <w:rFonts w:ascii="Arial" w:cs="Arial" w:eastAsia="Arial" w:hAnsi="Arial"/>
          <w:sz w:val="18"/>
          <w:szCs w:val="18"/>
          <w:color w:val="auto"/>
        </w:rPr>
      </w:pPr>
    </w:p>
    <w:p>
      <w:pPr>
        <w:jc w:val="both"/>
        <w:ind w:left="1120" w:right="220" w:hanging="369"/>
        <w:spacing w:after="0" w:line="264"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requirements under the federal Physician Payments Sunshine Act for drug manufacturers to report information related to payments and other transfers of value made to physicians and teaching hospitals as well as ownership or investment interests held by physicians and their immediate family members;</w:t>
      </w:r>
    </w:p>
    <w:p>
      <w:pPr>
        <w:spacing w:after="0" w:line="140" w:lineRule="exact"/>
        <w:rPr>
          <w:rFonts w:ascii="Arial" w:cs="Arial" w:eastAsia="Arial" w:hAnsi="Arial"/>
          <w:sz w:val="18"/>
          <w:szCs w:val="18"/>
          <w:color w:val="auto"/>
        </w:rPr>
      </w:pPr>
    </w:p>
    <w:p>
      <w:pPr>
        <w:ind w:left="1120" w:right="40" w:hanging="369"/>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29" w:lineRule="exact"/>
        <w:rPr>
          <w:rFonts w:ascii="Arial" w:cs="Arial" w:eastAsia="Arial" w:hAnsi="Arial"/>
          <w:sz w:val="18"/>
          <w:szCs w:val="18"/>
          <w:color w:val="auto"/>
        </w:rPr>
      </w:pPr>
    </w:p>
    <w:p>
      <w:pPr>
        <w:ind w:left="1120" w:right="40" w:hanging="369"/>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if and when impaneled, will have authority to recommend certain changes to the Medicare program that could result in reduced payments for prescription drugs; and</w:t>
      </w:r>
    </w:p>
    <w:p>
      <w:pPr>
        <w:spacing w:after="0" w:line="129" w:lineRule="exact"/>
        <w:rPr>
          <w:rFonts w:ascii="Arial" w:cs="Arial" w:eastAsia="Arial" w:hAnsi="Arial"/>
          <w:sz w:val="18"/>
          <w:szCs w:val="18"/>
          <w:color w:val="auto"/>
        </w:rPr>
      </w:pPr>
    </w:p>
    <w:p>
      <w:pPr>
        <w:ind w:left="1120" w:hanging="369"/>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ind w:left="1120"/>
        <w:spacing w:after="0"/>
        <w:rPr>
          <w:sz w:val="20"/>
          <w:szCs w:val="20"/>
          <w:color w:val="auto"/>
        </w:rPr>
      </w:pPr>
      <w:r>
        <w:rPr>
          <w:rFonts w:ascii="Arial" w:cs="Arial" w:eastAsia="Arial" w:hAnsi="Arial"/>
          <w:sz w:val="18"/>
          <w:szCs w:val="18"/>
          <w:color w:val="auto"/>
        </w:rPr>
        <w:t>models to lower Medicare and Medicaid spending, potentially including prescription drug spending.</w:t>
      </w:r>
    </w:p>
    <w:p>
      <w:pPr>
        <w:spacing w:after="0" w:line="185"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Other legislative changes have been proposed and adopted since the ACA was enacted. These changes include the Budget Control Act of 2011, which, among other things, led to aggregate reductions to Medicare payments to providers of up to 2% per fiscal year that started in 2013 and will stay in effect through 2024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41"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became effective in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devices.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Finally, the Further Consolidated Appropriations Act, 2020, repealed certain taxes enacted in connection with the ACA, including the “Cadillac” tax and the annual fee on health insurance providers. Congress may consider other legislation to replace elements of the ACA during the next Congressional session.</w:t>
      </w:r>
    </w:p>
    <w:p>
      <w:pPr>
        <w:spacing w:after="0" w:line="164" w:lineRule="exact"/>
        <w:rPr>
          <w:sz w:val="20"/>
          <w:szCs w:val="20"/>
          <w:color w:val="auto"/>
        </w:rPr>
      </w:pPr>
    </w:p>
    <w:p>
      <w:pPr>
        <w:ind w:right="100" w:firstLine="749"/>
        <w:spacing w:after="0" w:line="276" w:lineRule="auto"/>
        <w:rPr>
          <w:sz w:val="20"/>
          <w:szCs w:val="20"/>
          <w:color w:val="auto"/>
        </w:rPr>
      </w:pPr>
      <w:r>
        <w:rPr>
          <w:rFonts w:ascii="Arial" w:cs="Arial" w:eastAsia="Arial" w:hAnsi="Arial"/>
          <w:sz w:val="17"/>
          <w:szCs w:val="17"/>
          <w:color w:val="auto"/>
        </w:rPr>
        <w:t>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for any approved product and/or the level of reimbursement physicians receive for administering any approved product. Reductions in reimbursement levels may negatively impact the prices or the frequency with which products are prescribed or administered. Any reduction in reimbursement from Medicare or other government programs may result in a similar reduction in payments from private payors.</w:t>
      </w:r>
    </w:p>
    <w:p>
      <w:pPr>
        <w:spacing w:after="0" w:line="13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39" w:lineRule="exact"/>
        <w:rPr>
          <w:sz w:val="20"/>
          <w:szCs w:val="20"/>
          <w:color w:val="auto"/>
        </w:rPr>
      </w:pPr>
    </w:p>
    <w:p>
      <w:pPr>
        <w:ind w:right="80" w:firstLine="749"/>
        <w:spacing w:after="0" w:line="270" w:lineRule="auto"/>
        <w:rPr>
          <w:sz w:val="20"/>
          <w:szCs w:val="20"/>
          <w:color w:val="auto"/>
        </w:rPr>
      </w:pPr>
      <w:r>
        <w:rPr>
          <w:rFonts w:ascii="Arial" w:cs="Arial" w:eastAsia="Arial" w:hAnsi="Arial"/>
          <w:sz w:val="17"/>
          <w:szCs w:val="17"/>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House of Representatives passed H.R. 3 in 2019, a bill designed to make significant changes to Medicare to create new vision, dental, and hearing benefits and cap out-of-pocket drug costs for Medicare beneficiaries. In parallel, Senate Finance Committee Chairman Chuck Grassley and Ranking Member Ron Wyden have introduced the Prescription Drug Pricing Reduction Act of 2019. Though President Trump has made lowering prescription drug prices a central component of his 2020 presidential re-election campaign, he has vowed to veto H.R. 3, in the event the bill is taken up in the Senate. While these and any proposed measures will require authorization through additional legislation to become effective, Congress and the Trump administration have each indicated that it will continue to seek new legislative and/or administrative measures to control drug costs.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5" w:name="page26"/>
    <w:bookmarkEnd w:id="25"/>
    <w:p>
      <w:pPr>
        <w:ind w:firstLine="749"/>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Foreign Regulation</w:t>
      </w:r>
    </w:p>
    <w:p>
      <w:pPr>
        <w:spacing w:after="0" w:line="198"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In addition to regulations in the United States, we are subject to a variety of foreign regulations governing clinical trials and may become subject to additional foreign regulations pertaining to commercial sales and distribution of our drug candidates to the extent we choose to clinically evaluate or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for sale outside the United States.</w:t>
      </w:r>
    </w:p>
    <w:p>
      <w:pPr>
        <w:spacing w:after="0" w:line="127" w:lineRule="exact"/>
        <w:rPr>
          <w:sz w:val="20"/>
          <w:szCs w:val="20"/>
          <w:color w:val="auto"/>
        </w:rPr>
      </w:pPr>
    </w:p>
    <w:p>
      <w:pPr>
        <w:ind w:firstLine="1193"/>
        <w:spacing w:after="0" w:line="255" w:lineRule="auto"/>
        <w:rPr>
          <w:sz w:val="20"/>
          <w:szCs w:val="20"/>
          <w:color w:val="auto"/>
        </w:rPr>
      </w:pPr>
      <w:r>
        <w:rPr>
          <w:rFonts w:ascii="Arial" w:cs="Arial" w:eastAsia="Arial" w:hAnsi="Arial"/>
          <w:sz w:val="18"/>
          <w:szCs w:val="18"/>
          <w:color w:val="auto"/>
        </w:rPr>
        <w:t>On June 23, 2016, the electorate in the United Kingdom voted in favor of leaving the EU (commonly referred to as “Brexit”). Thereafter, on March 29, 2017, the country formally notified the EU of its intention to withdraw pursuant to Article 50 of the Lisbon Treaty. The withdrawal of the United Kingdom from the EU took effect as of January 31, 2020.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80" w:firstLine="509"/>
        <w:spacing w:after="0" w:line="342" w:lineRule="auto"/>
        <w:rPr>
          <w:sz w:val="20"/>
          <w:szCs w:val="20"/>
          <w:color w:val="auto"/>
        </w:rPr>
      </w:pPr>
      <w:r>
        <w:rPr>
          <w:rFonts w:ascii="Arial" w:cs="Arial" w:eastAsia="Arial" w:hAnsi="Arial"/>
          <w:sz w:val="16"/>
          <w:szCs w:val="16"/>
          <w:color w:val="auto"/>
        </w:rPr>
        <w:t>As of December 31, 2019, we had 26 employees, of which at least 14 hold graduate degrees (including 10 doctorate degrees) and 13 are engaged in full-time research and development activities. None of our employees are represented by a labor union, and we consider our employee relations to be good.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 xml:space="preserve">We were incorporated under the laws of the State of Delaware in 2015. Our principal executive offices are located at 3980 Premier Drive, Suite 310, High Point, NC 27265, and our telephone number is (336) 841-0300. We also maintain a corporate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The contents of our website are not made a part of this Annual Report on Form 10-K.</w:t>
      </w:r>
    </w:p>
    <w:p>
      <w:pPr>
        <w:spacing w:after="0" w:line="2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Financial Position and Need for Additional Capital</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incur continued losses for the foreseeable future. We may never achieve or maintain profitability.</w:t>
      </w:r>
    </w:p>
    <w:p>
      <w:pPr>
        <w:spacing w:after="0" w:line="62"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are a clinical-stage pharmaceutical company with limited operating history. We have never been profitable and do not expect to be profitable in the foreseeable future. We have incurred net losses in each year since beginning to develop our drug candidates, including net losses of approximately $17.9 million, $8.7 million and $16.1 million for the years ended December 31, 2019, 2018 and 2017, respectively. As of December 31, 2019, we had a total accumulated deficit of approximately $233.5 million. In addition, we have not commercialized any products and have never generated any revenue from the commercialization of any product. We have devoted most of our financial resources to research and development, including our preclinical development activities and clinical trials. We expect to incur significant additional operating losses for the next several years, at least, as we conduct our research and development activities, advance drug candidates through clinical development, complete clinical trials, seek regulatory approval and, if we receive FDA approval, commercialize our products. Furthermore, the costs of advancing drugs into each succeeding clinical phase tend to increase substantially over time. The total costs to advance any of our drug candidates to marketing approval in even a single jurisdiction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 w:name="page27"/>
    <w:bookmarkEnd w:id="26"/>
    <w:p>
      <w:pPr>
        <w:spacing w:after="0" w:line="268" w:lineRule="auto"/>
        <w:rPr>
          <w:sz w:val="20"/>
          <w:szCs w:val="20"/>
          <w:color w:val="auto"/>
        </w:rPr>
      </w:pPr>
      <w:r>
        <w:rPr>
          <w:rFonts w:ascii="Arial" w:cs="Arial" w:eastAsia="Arial" w:hAnsi="Arial"/>
          <w:sz w:val="17"/>
          <w:szCs w:val="17"/>
          <w:color w:val="auto"/>
        </w:rPr>
        <w:t>would be substantial. Because of the numerous risks and uncertainties associated with pharmaceutical product development, we are unable to accurately predict the timing or amount of increased expenses or when, or if, we will be able to begin generating revenue from the commercialization of products or achieve or maintain profitability. We expect to continue to incur significant additional expenses as we continue the development of our Late Stage Drug Candidates, advance our other drug candidates and expand our research and development programs. Furthermore, our ability to successfully develop, commercialize and license our products and generate product revenue is subject to substantial additional risks and uncertainties, as described under “—Risks Relating to the Discovery, Development and Regulatory Approval of Our Drug Candidates” and “—Risks Relating to the Commercialization of Our Drug Candidates.” As a result, we expect to continue to incur net losses and negative cash flows for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In addition, we may not be able to enter into any collaborations that will generate significant cash. If we are unable to develop and commercialize one or more of our drug candidates either alone or with collaborators, or if revenues from any drug candidate that receives marketing approval are insufficient, we will not achieve profitability. Even if we do achieve profitability, we may not be able to sustain or increase profitability. If we are unable to achieve and then maintain profitability, the value of our equity securities will be materially and adversely affected.</w:t>
      </w:r>
    </w:p>
    <w:p>
      <w:pPr>
        <w:spacing w:after="0" w:line="296"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Currently, we have no products approved for commercial sale, and to date we have not generated any revenue from product sales. As a result, our ability to generate revenue from products, curtail our losses and reach profitability is unproven, and we may never generate substantial product revenue.</w:t>
      </w:r>
    </w:p>
    <w:p>
      <w:pPr>
        <w:spacing w:after="0" w:line="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have no products approved for commercialization and have never generated any revenue from the commercialization of any product. Our ability to generate revenue and achieve profitability depends on our ability, alone or with strategic collaboration partners, to successfully complete the development of, and obtain the regulatory and marketing approvals necessary to commercialize one or more of our product candidates. We do not anticipate generating revenue from product sales for several years. Our ability to generate future revenue from product sales depends heavily on our success in many areas, including but not limited to:</w:t>
      </w:r>
    </w:p>
    <w:p>
      <w:pPr>
        <w:spacing w:after="0" w:line="8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completing research and nonclinical and clinical development of our product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regulatory and marketing approvals for product candidates for which we complete clinical studies;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collaborations for the development of certain of our drug candidates;</w:t>
      </w:r>
    </w:p>
    <w:p>
      <w:pPr>
        <w:spacing w:after="0" w:line="117"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62" w:lineRule="exact"/>
        <w:rPr>
          <w:rFonts w:ascii="Arial" w:cs="Arial" w:eastAsia="Arial" w:hAnsi="Arial"/>
          <w:sz w:val="18"/>
          <w:szCs w:val="18"/>
          <w:color w:val="auto"/>
        </w:rPr>
      </w:pPr>
    </w:p>
    <w:p>
      <w:pPr>
        <w:ind w:left="500" w:right="3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either directly or with a collaborator or distributor;</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favorable formulary placement with government and third party payors that allows for favorable reimbursement;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will need additional capital to complete the development and commercialization of our Late Stage Drug Candidates and our other drug candidates, and there is a substantial doubt about our ability to continue as a going concern. If we are unable to raise sufficient capital for these purposes, we would be forced to delay, reduce or eliminate our product development programs.</w:t>
      </w:r>
    </w:p>
    <w:p>
      <w:pPr>
        <w:spacing w:after="0" w:line="73"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Developing pharmaceutical products, including conducting preclinical studies and clinical trials, is expensive. We expect to continue to incur significant research and development expenses in connection with our ongoing activities, particularly as we undertake additional clinical trials of our Late Stage Drug Candidates and our other drug candidates and continue to work on our other research programs. Our current capital will not be sufficient for us to complete the development of our drug candidates. As such, we will need to raise additional capital to fund the ongoing and planned trials for our drug candidates, the portion of the clinical trial costs imposed upon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7" w:name="page28"/>
    <w:bookmarkEnd w:id="27"/>
    <w:p>
      <w:pPr>
        <w:spacing w:after="0" w:line="257" w:lineRule="auto"/>
        <w:rPr>
          <w:sz w:val="20"/>
          <w:szCs w:val="20"/>
          <w:color w:val="auto"/>
        </w:rPr>
      </w:pPr>
      <w:r>
        <w:rPr>
          <w:rFonts w:ascii="Arial" w:cs="Arial" w:eastAsia="Arial" w:hAnsi="Arial"/>
          <w:sz w:val="18"/>
          <w:szCs w:val="18"/>
          <w:color w:val="auto"/>
        </w:rPr>
        <w:t xml:space="preserve">us by the Huadong License Agreement for </w:t>
      </w:r>
      <w:r>
        <w:rPr>
          <w:rFonts w:ascii="Arial" w:cs="Arial" w:eastAsia="Arial" w:hAnsi="Arial"/>
          <w:sz w:val="18"/>
          <w:szCs w:val="18"/>
          <w:i w:val="1"/>
          <w:iCs w:val="1"/>
          <w:color w:val="auto"/>
        </w:rPr>
        <w:t>TTP273</w:t>
      </w:r>
      <w:r>
        <w:rPr>
          <w:rFonts w:ascii="Arial" w:cs="Arial" w:eastAsia="Arial" w:hAnsi="Arial"/>
          <w:sz w:val="18"/>
          <w:szCs w:val="18"/>
          <w:color w:val="auto"/>
        </w:rPr>
        <w:t>, if and when undertaken, and prior to the commercialization of any of our drug candidates. We are seeking possible additional partnering opportunities and grants for our GKA, GLP-1r and other drug candidates which we believe may provide additional cash for use in our operations and the continuation of the clinical trials for our drug candidates. We also continue to evaluate other financing strategies to fund our ongoing trials. Such financing strategies include direct equity investments and future public offerings of our common stock. The timing and availability of such financing are not yet known.</w:t>
      </w:r>
    </w:p>
    <w:p>
      <w:pPr>
        <w:spacing w:after="0" w:line="188"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If the FDA or other regulators require that we perform additional studies beyond those we currently expect, or if there are any delays in completing our clinical trials or the development of any of our drug candidates, our expenses could increase beyond what we currently anticipate and the timing of any potential product approval may be delayed. We have no commitments or arrangements for any additional financing to fund our research and development programs other than the funds available to us under the letter agreement between vTv and MacAndrews &amp; Forbes Group LLC (“M&amp;F Group”), a related party and an affiliate of MacAndrews &amp; Forbes Incorporated (together with its affiliates “MacAndrews”) dated as of December 23, 2019 (the “December 2019 Letter Agreement”), for its commitment to invest up to $10.0 million over a one-year period, of which $6.0 million is still available to us as of February 20, 2020. We also will need to raise substantial additional capital in the future to conduct further clinical trials of our Late Stage Drug Candidates and to continue developing our other drug candidates. Because successful development of our drug candidates is uncertain, we are unable to estimate the actual funds required to complete research and development and commercialize and license our products under development.</w:t>
      </w:r>
    </w:p>
    <w:p>
      <w:pPr>
        <w:spacing w:after="0" w:line="16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We may seek to access the public or private capital markets whenever conditions are favorable, even if we do not have an immediate need for additional capital at that time. If worldwide economic conditions and the international equity and credit markets deteriorate and return to depressed states, it will be more difficult for us to obtain additional equity or credit financing, when needed.</w:t>
      </w:r>
    </w:p>
    <w:p>
      <w:pPr>
        <w:spacing w:after="0" w:line="18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recurring losses, accumulated deficit and our current levels of cash and cash equivalents raise substantial doubt about our ability to continue as a going concern as of the date of this report. If we are unable to continue as a going concern, we may have to liquidate our assets and it is likely that investors will lose all or a significant part of their investments.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and such additional funding may cause substantial dilution to our existing investors. Further, if adequate funds are not available, we may be required to delay, reduce the scope of or eliminate one or more of our research or development programs.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580" w:right="220" w:hanging="572"/>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registrational trial(s)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of type 1 diabetes and our sequential Phase 2/3 trial to evaluate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potential treatment of mild-AD in patients with type 2 diabetes;</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580" w:right="120" w:hanging="572"/>
        <w:spacing w:after="0" w:line="264"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580" w:right="140" w:hanging="572"/>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 of any payments we are required to make to M&amp;F TTP Holdings Two LLC in the future under the Tax Receivable Agreement.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8" w:name="page29"/>
    <w:bookmarkEnd w:id="28"/>
    <w:p>
      <w:pPr>
        <w:ind w:right="3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6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to us under the December 2019 Letter Agreement. To the extent that we raise additional capital through the sale of equity or convertible debt securities, the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8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We have entered into the December 2019 Letter Agreement with M&amp;F Group, the terms of which are more fully described in “Management’s</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Discussion and Analysis of Financial Conditions and Results of Operations – Liquidity and Capital Resources” in Item 7 of this Annual Report on Form 10-</w:t>
      </w:r>
    </w:p>
    <w:p>
      <w:pPr>
        <w:spacing w:after="0" w:line="32" w:lineRule="exact"/>
        <w:rPr>
          <w:sz w:val="20"/>
          <w:szCs w:val="20"/>
          <w:color w:val="auto"/>
        </w:rPr>
      </w:pPr>
    </w:p>
    <w:p>
      <w:pPr>
        <w:ind w:firstLine="8"/>
        <w:spacing w:after="0" w:line="253"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shares of our Class A common stock that are sold pursuant to the December 2019 Letter Agreement will dilute the interest of our stockholders. In addition, in connection with the December 2019 Letter Agreement and previous similar letter agreements, we also issued to M&amp;F Group warrants to purchase 365,472 shares of our Class A common stock. Sales of Class A common stock under the December 2019 Letter Agreement or the related warrants may result in substantial dilution to existing investors. Future agreements for additional financing either with M&amp;F Group or with other parties may result in additional dilution to stockholders.</w:t>
      </w:r>
    </w:p>
    <w:p>
      <w:pPr>
        <w:spacing w:after="0" w:line="83"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9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significant amount of debt could adversely affect our business, operating results and financial condition and prevent us from fulfilling our debt-related obligations.</w:t>
      </w:r>
    </w:p>
    <w:p>
      <w:pPr>
        <w:spacing w:after="0" w:line="62" w:lineRule="exact"/>
        <w:rPr>
          <w:sz w:val="20"/>
          <w:szCs w:val="20"/>
          <w:color w:val="auto"/>
        </w:rPr>
      </w:pPr>
    </w:p>
    <w:p>
      <w:pPr>
        <w:ind w:right="160" w:firstLine="568"/>
        <w:spacing w:after="0" w:line="342" w:lineRule="auto"/>
        <w:rPr>
          <w:sz w:val="20"/>
          <w:szCs w:val="20"/>
          <w:color w:val="auto"/>
        </w:rPr>
      </w:pPr>
      <w:r>
        <w:rPr>
          <w:rFonts w:ascii="Arial" w:cs="Arial" w:eastAsia="Arial" w:hAnsi="Arial"/>
          <w:sz w:val="16"/>
          <w:szCs w:val="16"/>
          <w:color w:val="auto"/>
        </w:rPr>
        <w:t>We have a significant amount of debt. As of December 31, 2019, the total principal amount of our debt was $4.9 million, the majority of which was incurred under the venture loan and security agreement (the “Loan Agreement”) with Horizon Technology Finance Corporation and Silicon Valley Bank.</w:t>
      </w:r>
    </w:p>
    <w:p>
      <w:pPr>
        <w:spacing w:after="0" w:line="16" w:lineRule="exact"/>
        <w:rPr>
          <w:sz w:val="20"/>
          <w:szCs w:val="20"/>
          <w:color w:val="auto"/>
        </w:rPr>
      </w:pPr>
    </w:p>
    <w:p>
      <w:pPr>
        <w:ind w:right="40" w:firstLine="568"/>
        <w:spacing w:after="0" w:line="264" w:lineRule="auto"/>
        <w:rPr>
          <w:sz w:val="20"/>
          <w:szCs w:val="20"/>
          <w:color w:val="auto"/>
        </w:rPr>
      </w:pPr>
      <w:r>
        <w:rPr>
          <w:rFonts w:ascii="Arial" w:cs="Arial" w:eastAsia="Arial" w:hAnsi="Arial"/>
          <w:sz w:val="18"/>
          <w:szCs w:val="18"/>
          <w:color w:val="auto"/>
        </w:rPr>
        <w:t>As a result of the termination of the STEADFAST Study, we granted the Lenders a first priority security interest in all of our intellectual property, subject to certain limited exceptions. We have agreed not to pledge or otherwise encumber our intellectual property assets, subject to certain exceptions. The level and nature of our indebtedness could, among other things:</w:t>
      </w:r>
    </w:p>
    <w:p>
      <w:pPr>
        <w:spacing w:after="0" w:line="73"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it difficult for us to obtain any necessary financing in the future;</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funds available for use in our operations and other strategic initiatives;</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 our ability to incur additional debt because of restrictive covenants or the liens on our assets that secure our current debt;</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hinder our ability to raise equity capital, because in the event of a liquidation of our business, debt holders receive a priority before equity holders;</w:t>
      </w:r>
    </w:p>
    <w:p>
      <w:pPr>
        <w:spacing w:after="0" w:line="140" w:lineRule="exact"/>
        <w:rPr>
          <w:rFonts w:ascii="Arial" w:cs="Arial" w:eastAsia="Arial" w:hAnsi="Arial"/>
          <w:sz w:val="16"/>
          <w:szCs w:val="16"/>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us more vulnerable in the event of a downturn in our business; and</w:t>
      </w:r>
    </w:p>
    <w:p>
      <w:pPr>
        <w:spacing w:after="0" w:line="117" w:lineRule="exact"/>
        <w:rPr>
          <w:rFonts w:ascii="Arial" w:cs="Arial" w:eastAsia="Arial" w:hAnsi="Arial"/>
          <w:sz w:val="18"/>
          <w:szCs w:val="18"/>
          <w:color w:val="auto"/>
        </w:rPr>
      </w:pPr>
    </w:p>
    <w:p>
      <w:pPr>
        <w:ind w:left="560" w:right="380" w:hanging="552"/>
        <w:spacing w:after="0" w:line="483" w:lineRule="auto"/>
        <w:tabs>
          <w:tab w:leader="none" w:pos="5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place us at a possible competitive disadvantage relative to less leveraged competitors and competitors that have better access to capital resources. We may also incur significantly more debt in the future, which will increase each of the risks described above related to our indebtedness.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Restrictions and covenants in the Loan Agreement limit our ability to take certain actions and impose consequences in the event of failure to comply.</w:t>
      </w:r>
    </w:p>
    <w:p>
      <w:pPr>
        <w:spacing w:after="0" w:line="140" w:lineRule="exact"/>
        <w:rPr>
          <w:sz w:val="20"/>
          <w:szCs w:val="20"/>
          <w:color w:val="auto"/>
        </w:rPr>
      </w:pPr>
    </w:p>
    <w:p>
      <w:pPr>
        <w:ind w:right="140" w:firstLine="568"/>
        <w:spacing w:after="0" w:line="277" w:lineRule="auto"/>
        <w:rPr>
          <w:sz w:val="20"/>
          <w:szCs w:val="20"/>
          <w:color w:val="auto"/>
        </w:rPr>
      </w:pPr>
      <w:r>
        <w:rPr>
          <w:rFonts w:ascii="Arial" w:cs="Arial" w:eastAsia="Arial" w:hAnsi="Arial"/>
          <w:sz w:val="18"/>
          <w:szCs w:val="18"/>
          <w:color w:val="auto"/>
        </w:rPr>
        <w:t>The Loan Agreement contains a number of significant restrictions and covenants that limit our ability (subject in each case to limited exceptions) to, among other things,</w:t>
      </w:r>
    </w:p>
    <w:p>
      <w:pPr>
        <w:spacing w:after="0" w:line="62" w:lineRule="exact"/>
        <w:rPr>
          <w:sz w:val="20"/>
          <w:szCs w:val="20"/>
          <w:color w:val="auto"/>
        </w:rPr>
      </w:pPr>
    </w:p>
    <w:p>
      <w:pPr>
        <w:ind w:left="5620" w:right="5600" w:hanging="5612"/>
        <w:spacing w:after="0" w:line="624" w:lineRule="auto"/>
        <w:tabs>
          <w:tab w:leader="none" w:pos="5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convey, sell, lease, transfer or otherwise dispose of certain of our assets;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9" w:name="page30"/>
    <w:bookmarkEnd w:id="29"/>
    <w:p>
      <w:pPr>
        <w:ind w:left="500" w:right="58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minimum cash balance of $2.5 million in a deposit account pledged to secure the Loan Agreement and subject to an account control agreement;</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any business other than the businesses we currently engage in or reasonably related thereto;</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liquidate or dissolve;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certain management changes;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undergo certain change of control events;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incur, assume or be liable with respect to certain indebtedness;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 certain liens;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and make certain other restricted payments;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certain investments;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any material transactions with any affiliates, with certain exceptions.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These covenants affect our operating flexibility by, among other things, restricting our ability to incur expenses and indebtedness that could otherwise be used to fund the costs of executing our business strategy and to grow our business, as well as to fund general corporate purposes. Our ability to comply with these covenants may be affected by events beyond our control and we may not be able to meet these covenants. A breach under the Loan Agreement would permit our lenders to accelerate amounts outstanding thereunder. We may not have sufficient funds at the time of any such breach to repay, in full or in part, the borrowings under the Loan Agreement.</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expect a number of factors to cause our operating results to fluctuate on a quarterly and annual basis, which may make it difficult to predict our future performance.</w:t>
      </w:r>
    </w:p>
    <w:p>
      <w:pPr>
        <w:spacing w:after="0" w:line="62"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We are a clinical stage pharmaceutical company with a limited operating history. Our operations to date have been primarily limited to developing our technology and undertaking preclinical studies and clinical trials of our Late Stage Drug Candidates and our other drug candidates. We have not yet obtained regulatory approvals for any of our drug candidates. Consequently, any statements about our future success or viability are not based on any substantial operating history or commercialized products. Our financial condition and operating results have varied significantly in the past and will continue to fluctuate from quarter-to-quarter or year-to-year due to a variety of factors, many of which are beyond our control. As a result, we may never successfully develop and commercialize a product, which could lead to a material adverse effect on the value of any investment in our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Discovery, Development and Regulatory Approval of Our Drug Candidates</w:t>
      </w:r>
    </w:p>
    <w:p>
      <w:pPr>
        <w:spacing w:after="0" w:line="121"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and failure can occur at any stage of clinical development. Because the results of earlier clinical trials are not necessarily predictive of future results, any drug candidate we advance through various stages of clinical trials or development may not have favorable results in later stages of clinical trials or development or receive regulatory approval.</w:t>
      </w:r>
    </w:p>
    <w:p>
      <w:pPr>
        <w:spacing w:after="0" w:line="23"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For example, our Phase 3 STEADFAST Study in mild AD patients did not meet its co-primary endpoints in either sub-study, and the B-Study was discontinued early due to the results of the A-Study. Success in preclinical testing and early clinical trials does not ensure that later clinical trials will generate the same results or otherwise provide adequate data to demonstrate the efficacy and safety of a drug candidate. Frequently, drug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While members of our management team have experience in designing clinical trials, our company has limited experience in designing clinical trials, and we may be unable to design and execute a clinical trial to support regulatory approval. Further, clinical trials of potential products often reveal that it is not practical or feasible to continue development efforts. For example, if the results of our future clinical trials of our drug candidates do not achieve the primary efficacy endpoints or demonstrate safety, the prospects for approval of these candidates would be materially and adversely affected. If our drug candidates are found to be unsafe or lack efficacy, we will not be able to obtain regulatory approval for them and our business would be materially harmed.</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Fast Track designation for one or more of our product candidates may not actually lead to a faster development or regulatory review or approval process.</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ind w:right="100" w:firstLine="509"/>
        <w:spacing w:after="0" w:line="273" w:lineRule="auto"/>
        <w:rPr>
          <w:sz w:val="20"/>
          <w:szCs w:val="20"/>
          <w:color w:val="auto"/>
        </w:rPr>
      </w:pPr>
      <w:r>
        <w:rPr>
          <w:rFonts w:ascii="Arial" w:cs="Arial" w:eastAsia="Arial" w:hAnsi="Arial"/>
          <w:sz w:val="17"/>
          <w:szCs w:val="17"/>
          <w:color w:val="auto"/>
        </w:rPr>
        <w:t xml:space="preserve">If a product is intended for the treatment of a serious condition and nonclinical or clinical data demonstrate the potential to address unmet medical need for this condition, a product sponsor may apply for FDA Fast Track designation. The FDA granted Fast Track designation to </w:t>
      </w:r>
      <w:r>
        <w:rPr>
          <w:rFonts w:ascii="Arial" w:cs="Arial" w:eastAsia="Arial" w:hAnsi="Arial"/>
          <w:sz w:val="17"/>
          <w:szCs w:val="17"/>
          <w:i w:val="1"/>
          <w:iCs w:val="1"/>
          <w:color w:val="auto"/>
        </w:rPr>
        <w:t>azeliragon</w:t>
      </w:r>
      <w:r>
        <w:rPr>
          <w:rFonts w:ascii="Arial" w:cs="Arial" w:eastAsia="Arial" w:hAnsi="Arial"/>
          <w:sz w:val="17"/>
          <w:szCs w:val="17"/>
          <w:color w:val="auto"/>
        </w:rPr>
        <w: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cannot be certain that any of our drug candidates will receive regulatory approval, and without regulatory approval we will not be able to market our drug candidates and generate revenue from products. Any delay in the regulatory review or approval of our drug candidates will materially and adversely affect our business.</w:t>
      </w:r>
    </w:p>
    <w:p>
      <w:pPr>
        <w:spacing w:after="0" w:line="7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ability to generate revenue related to product sales, which we do not expect will occur for at least the next several years, if ever, will depend on the successful development and regulatory approval of our drug candidates. For example, our Phase 3 STEADFAST Study in mild AD patients did not meet its co-primary endpoints in either sub-study, and the B-Study was discontinued early due to results of the A-Study. Our clinical development programs for our drug candidates may not lead to regulatory approval from the FDA and similar foreign regulatory agencies. This failure to obtain regulatory approvals would prevent our drug candidates from being marketed and would prevent us from generating revenue from our drug candidates, which would have a material and adverse effect on our business.</w:t>
      </w:r>
    </w:p>
    <w:p>
      <w:pPr>
        <w:spacing w:after="0" w:line="19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All of our drug candidates require regulatory review and approval prior to commercialization, and generally, only a small percentage of pharmaceutical products under development are ultimately approved for commercial sale. This is particularly true in the area of treatments for Alzheimer’s disease, where pharmaceutical development has been particularly challenging. Moreover, any delays in the regulatory review or approval of our drug candidates would delay market launch, increase our cash requirements and result in additional operating losses.</w:t>
      </w:r>
    </w:p>
    <w:p>
      <w:pPr>
        <w:spacing w:after="0" w:line="18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process of obtaining FDA and other required regulatory approvals, including foreign approvals, often takes many years and can vary substantially based upon the type, complexity and novelty of the products involved. Furthermore, this approval process is extremely complex, expensive and uncertain, and failure to comply with applicable regulatory requirements can, among other things, result in the suspension of regulatory approval as well as possible civil and criminal sanctions. We may be unable to submit any new drug application (“NDA”), in the United States or any marketing approval application in foreign jurisdictions for any of our products. If we submit an NDA including any amended NDA or supplemental NDA, to the FDA seeking marketing approval for any of our drug candidates, the FDA must decide whether to accept or reject the submission for filing. We cannot be certain that any of these submissions will be accepted for filing and reviewed by the FDA, or that the marketing approval application submissions to any other regulatory authorities will be accepted for filing and review by those authorities. We cannot be certain that we will be able to respond to any regulatory requests during the review period in a timely manner, or at all, without delaying potential regulatory action. We also cannot be certain that any of our drug candidates will receive favorable recommendations from any FDA advisory committee or foreign regulatory bodies or be approved for marketing by the FDA or foreign regulatory authorities. In addition, delays in approvals or rejections of marketing applications may be based upon many factors, including regulatory requests for additional analyses, reports, data and studies, regulatory questions regarding data and results, changes in regulatory policy during the period of product development and the emergence of new information regarding our drug candidates.</w:t>
      </w:r>
    </w:p>
    <w:p>
      <w:pPr>
        <w:spacing w:after="0" w:line="188"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Data obtained from preclinical studies and clinical trials are subject to different interpretations, which could delay, limit or prevent regulatory review or approval of any of our drug candidates. Furthermore, regulatory attitudes towards the data and results required to demonstrate safety and efficacy can change over time and can be affected by many factors, such as the emergence of new information, including on other products, policy changes and agency funding, staffing and leadership. We do not know whether future changes to the regulatory environment will be favorable or unfavorable to our business prospects.</w:t>
      </w:r>
    </w:p>
    <w:p>
      <w:pPr>
        <w:spacing w:after="0" w:line="188"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color w:val="auto"/>
        </w:rPr>
        <w:t>In addition, the environment in which our regulatory submissions may be reviewed changes over time. For example, average review times at the FDA for NDAs have fluctuated over the last ten years, and we cannot predict the review time for any of our submissions with any regulatory authorities. Review times can be affected by a variety of factors, including budget and funding levels and statutory, regulatory and policy as well as personnel changes at the FDA. Moreover, in light of widely publicized events concerning the safety risk of certain drug products, regulatory authorities, members of the U.S. Government Accountability Office, medical professionals and the general public have raised concerns about potential drug safety issues. These events have resulted in the withdrawal of drug products, revisions to drug labeling that further limit use of the drug products and establishment of REMS, measures that may, for instance, place restrictions on the distribution of new drug products. The increased attention to drug safety issues may result in a more cautious approach by the FDA to clinical trials. Data from clinical trials may receive greater scrutiny with respect to safety, which may make the FDA or other regulatory authorities more likely to delay or terminate clinical trials before completion, or require longer or additional clinical trials that may result in substantial additional expense and a delay or failure in obtaining approval or may result in approval for a more limited indication than originally sought.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160" w:firstLine="509"/>
        <w:spacing w:after="0" w:line="264" w:lineRule="auto"/>
        <w:rPr>
          <w:sz w:val="20"/>
          <w:szCs w:val="20"/>
          <w:color w:val="auto"/>
        </w:rPr>
      </w:pPr>
      <w:r>
        <w:rPr>
          <w:rFonts w:ascii="Arial" w:cs="Arial" w:eastAsia="Arial" w:hAnsi="Arial"/>
          <w:sz w:val="18"/>
          <w:szCs w:val="18"/>
          <w:color w:val="auto"/>
        </w:rPr>
        <w:t>In addition, approval policies, regulations, or the type and amount of clinical data necessary to gain approval may change during the course of a drug candidate’s clinical development and may vary among jurisdictions, and approval in one jurisdiction does not guarantee approval in any other jurisdiction. Our drug candidates could fail to receive regulatory approval for many reasons, including the following:</w:t>
      </w:r>
    </w:p>
    <w:p>
      <w:pPr>
        <w:spacing w:after="0" w:line="73"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w:t>
      </w:r>
    </w:p>
    <w:p>
      <w:pPr>
        <w:spacing w:after="0" w:line="62" w:lineRule="exact"/>
        <w:rPr>
          <w:rFonts w:ascii="Arial" w:cs="Arial" w:eastAsia="Arial" w:hAnsi="Arial"/>
          <w:sz w:val="18"/>
          <w:szCs w:val="18"/>
          <w:color w:val="auto"/>
        </w:rPr>
      </w:pPr>
    </w:p>
    <w:p>
      <w:pPr>
        <w:ind w:left="500" w:right="44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17" w:lineRule="exact"/>
        <w:rPr>
          <w:rFonts w:ascii="Arial" w:cs="Arial" w:eastAsia="Arial" w:hAnsi="Arial"/>
          <w:sz w:val="18"/>
          <w:szCs w:val="18"/>
          <w:color w:val="auto"/>
        </w:rPr>
      </w:pPr>
    </w:p>
    <w:p>
      <w:pPr>
        <w:ind w:left="500" w:right="46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or other submission or to obtain regulatory approval in the United States or elsewhere;</w:t>
      </w:r>
    </w:p>
    <w:p>
      <w:pPr>
        <w:spacing w:after="0" w:line="62" w:lineRule="exact"/>
        <w:rPr>
          <w:rFonts w:ascii="Arial" w:cs="Arial" w:eastAsia="Arial" w:hAnsi="Arial"/>
          <w:sz w:val="18"/>
          <w:szCs w:val="18"/>
          <w:color w:val="auto"/>
        </w:rPr>
      </w:pPr>
    </w:p>
    <w:p>
      <w:pPr>
        <w:ind w:left="500" w:right="18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companion diagnostics we contemplate developing with partners; and</w:t>
      </w:r>
    </w:p>
    <w:p>
      <w:pPr>
        <w:spacing w:after="0" w:line="140" w:lineRule="exact"/>
        <w:rPr>
          <w:rFonts w:ascii="Arial" w:cs="Arial" w:eastAsia="Arial" w:hAnsi="Arial"/>
          <w:sz w:val="16"/>
          <w:szCs w:val="16"/>
          <w:color w:val="auto"/>
        </w:rPr>
      </w:pPr>
    </w:p>
    <w:p>
      <w:pPr>
        <w:ind w:left="500" w:right="48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our drug candidates, which would significantly harm our business, results of operations and prospects.</w:t>
      </w:r>
    </w:p>
    <w:p>
      <w:pPr>
        <w:spacing w:after="0" w:line="170" w:lineRule="exact"/>
        <w:rPr>
          <w:sz w:val="20"/>
          <w:szCs w:val="20"/>
          <w:color w:val="auto"/>
        </w:rPr>
      </w:pPr>
    </w:p>
    <w:p>
      <w:pPr>
        <w:ind w:right="80" w:firstLine="509"/>
        <w:spacing w:after="0" w:line="276" w:lineRule="auto"/>
        <w:rPr>
          <w:sz w:val="20"/>
          <w:szCs w:val="20"/>
          <w:color w:val="auto"/>
        </w:rPr>
      </w:pPr>
      <w:r>
        <w:rPr>
          <w:rFonts w:ascii="Arial" w:cs="Arial" w:eastAsia="Arial" w:hAnsi="Arial"/>
          <w:sz w:val="17"/>
          <w:szCs w:val="17"/>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necessary or desirable for the successful commercialization of that drug candidate. To date, the FDA has not approved any drugs for the treatment of AD as disease modifying. Any of the foregoing scenarios could materially harm the commercial prospects for our drug candidates.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results of previous clinical trials may not be predictive of future results, and the results of our current and planned clinical trials may not satisfy the requirements of the FDA or non-U.S. regulatory authorities.</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currently have no drugs approved for sale and we cannot guarantee that we will ever have marketable drugs. Clinical failure can occur at any stage of clinical development. Clinical trials may produce negative or inconclusive results, and we or any collaborators may decide, or regulators may require us, to conduct additional clinical trials or preclinical studies. We will be required to demonstrate with substantial evidence through well-controlled clinical trials that our drug candidates are safe and effective for use in a diverse population before we can seek regulatory approvals for their commercial sale. Success in early-stage clinical trials does not mean that future larger registration clinical trials will be successful because drug candidates in later-stage clinical trials may fail to demonstrate sufficient safety and efficacy to the satisfaction of the FDA and non-U.S. regulatory authorities despite having progressed through early-stage clinical trials. Drug candidates that have shown promising results in early-stage clinical trials may still suffer significant setbacks in subsequent registration clinical trials. Additionally, the outcome of preclinical studies and early-stage clinical trials may not be predictive of the success of later-stage clinical trials, and interim results of a clinical trial are not necessarily indicative of final results.</w:t>
      </w:r>
    </w:p>
    <w:p>
      <w:pPr>
        <w:spacing w:after="0" w:line="2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FDA or non-U.S. regulatory authorities may disagree with our and/or our clinical trial investigators’ interpretation of data from clinical trials in determining if serious adverse or unacceptable side effects are drug-related.</w:t>
      </w:r>
    </w:p>
    <w:p>
      <w:pPr>
        <w:spacing w:after="0" w:line="62" w:lineRule="exact"/>
        <w:rPr>
          <w:sz w:val="20"/>
          <w:szCs w:val="20"/>
          <w:color w:val="auto"/>
        </w:rPr>
      </w:pPr>
    </w:p>
    <w:p>
      <w:pPr>
        <w:ind w:right="400" w:firstLine="509"/>
        <w:spacing w:after="0" w:line="273" w:lineRule="auto"/>
        <w:rPr>
          <w:sz w:val="20"/>
          <w:szCs w:val="20"/>
          <w:color w:val="auto"/>
        </w:rPr>
      </w:pPr>
      <w:r>
        <w:rPr>
          <w:rFonts w:ascii="Arial" w:cs="Arial" w:eastAsia="Arial" w:hAnsi="Arial"/>
          <w:sz w:val="17"/>
          <w:szCs w:val="17"/>
          <w:color w:val="auto"/>
        </w:rPr>
        <w:t>We, and our clinical trial investigators, currently determine if serious adverse or unacceptable side effects are drug-related. The FDA or non-U.S. regulatory authorities may disagree with our or our clinical trial investigators’ interpretation of data from clinical trials and the conclusion by us or our clinical trial investigators that a serious adverse effect or unacceptable side effect was not drug-related. The FDA or non-U.S. regulatory authorities may require more information, including additional preclinical or clinical data to support approval, which may cause us to incur additional expenses, delay or prevent the approval of one of our drug candidates, and/or delay or cause us to change our commercialization plans, or we may decide to abandon the development or commercialization of the drug candidate altogether.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Changes in law could have a negative impact on the approval of our drug candidates.</w:t>
      </w:r>
    </w:p>
    <w:p>
      <w:pPr>
        <w:spacing w:after="0" w:line="117"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The FDA has established regulations, guidelines and policies to govern the drug development and approval process, as have foreign regulatory authorities. Any change in regulatory requirements resulting from the adoption of new legislation, regulations or policies may require us to amend existing clinical trial protocols or add new clinical trials to comply with these changes. Such amendments to existing protocols or clinical trial applications or the need for new ones, may significantly and adversely affect the cost, timing and completion of the clinical trials for our drug candidates. In addition, the FDA’s policies may change and additional government regulations may be issued that could prevent, limit or delay regulatory approval of our drug candidates, or impose more stringent product labeling and post-marketing testing and other requirements. If we are slow or unable to adapt to any such changes, our business, prospects and ability to achieve or sustain profitability would be adversely affected.</w:t>
      </w:r>
    </w:p>
    <w:p>
      <w:pPr>
        <w:spacing w:after="0" w:line="286"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Under the CURES Act and the Trump Administration’s regulatory reform initiatives, the FDA’s policies, regulations and guidance may be revised or revoked and that could prevent, limit or delay regulatory approval of our product candidates, which would impact our ability to generate revenue.</w:t>
      </w:r>
    </w:p>
    <w:p>
      <w:pPr>
        <w:spacing w:after="0" w:line="101" w:lineRule="exact"/>
        <w:rPr>
          <w:sz w:val="20"/>
          <w:szCs w:val="20"/>
          <w:color w:val="auto"/>
        </w:rPr>
      </w:pPr>
    </w:p>
    <w:p>
      <w:pPr>
        <w:ind w:right="80" w:firstLine="509"/>
        <w:spacing w:after="0" w:line="302" w:lineRule="auto"/>
        <w:rPr>
          <w:sz w:val="20"/>
          <w:szCs w:val="20"/>
          <w:color w:val="auto"/>
        </w:rPr>
      </w:pPr>
      <w:r>
        <w:rPr>
          <w:rFonts w:ascii="Arial" w:cs="Arial" w:eastAsia="Arial" w:hAnsi="Arial"/>
          <w:sz w:val="16"/>
          <w:szCs w:val="16"/>
          <w:color w:val="auto"/>
        </w:rPr>
        <w:t>In December 2016, the 21st Century Cures Act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54"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issue regulations or guidance, or implement or enforce regulatory requirements in a timely fashion or at all. Moreover,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2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Delays in the commencement, enrollment and completion of our clinical trials could result in increased costs to us and delay or limit our ability to obtain regulatory approval for our drug candidates.</w:t>
      </w:r>
    </w:p>
    <w:p>
      <w:pPr>
        <w:spacing w:after="0" w:line="62" w:lineRule="exact"/>
        <w:rPr>
          <w:sz w:val="20"/>
          <w:szCs w:val="20"/>
          <w:color w:val="auto"/>
        </w:rPr>
      </w:pPr>
    </w:p>
    <w:p>
      <w:pPr>
        <w:ind w:right="480" w:firstLine="509"/>
        <w:spacing w:after="0" w:line="312" w:lineRule="auto"/>
        <w:rPr>
          <w:sz w:val="20"/>
          <w:szCs w:val="20"/>
          <w:color w:val="auto"/>
        </w:rPr>
      </w:pPr>
      <w:r>
        <w:rPr>
          <w:rFonts w:ascii="Arial" w:cs="Arial" w:eastAsia="Arial" w:hAnsi="Arial"/>
          <w:sz w:val="16"/>
          <w:szCs w:val="16"/>
          <w:color w:val="auto"/>
        </w:rPr>
        <w:t>Delays in the commencement, enrollment and completion of clinical trials could increase our product development costs or limit the regulatory approval of our drug candidates. We do not know whether current or future clinical trials of our drug candidates will begin on time or at all or will be completed on schedule or at all. The commencement, enrollment and completion of our clinical trials can be delayed for a variety of reasons, including:</w:t>
      </w:r>
    </w:p>
    <w:p>
      <w:pPr>
        <w:spacing w:after="0" w:line="39" w:lineRule="exact"/>
        <w:rPr>
          <w:sz w:val="20"/>
          <w:szCs w:val="20"/>
          <w:color w:val="auto"/>
        </w:rPr>
      </w:pPr>
    </w:p>
    <w:p>
      <w:pPr>
        <w:ind w:left="500" w:right="6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reach agreements on acceptable terms with prospective CROs and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objections to commencing a clinical trial;</w:t>
      </w:r>
    </w:p>
    <w:p>
      <w:pPr>
        <w:spacing w:after="0" w:line="117"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 many of which may already be engaged in other clinical trial programs, including some that may be for the same indication as our drug candidates;</w:t>
      </w:r>
    </w:p>
    <w:p>
      <w:pPr>
        <w:spacing w:after="0" w:line="62" w:lineRule="exact"/>
        <w:rPr>
          <w:rFonts w:ascii="Arial" w:cs="Arial" w:eastAsia="Arial" w:hAnsi="Arial"/>
          <w:sz w:val="18"/>
          <w:szCs w:val="18"/>
          <w:color w:val="auto"/>
        </w:rPr>
      </w:pPr>
    </w:p>
    <w:p>
      <w:pPr>
        <w:ind w:left="500" w:right="6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obtain institutional review board (“IRB”), approval to conduct a clinical trial;</w:t>
      </w:r>
    </w:p>
    <w:p>
      <w:pPr>
        <w:spacing w:after="0" w:line="117" w:lineRule="exact"/>
        <w:rPr>
          <w:rFonts w:ascii="Arial" w:cs="Arial" w:eastAsia="Arial" w:hAnsi="Arial"/>
          <w:sz w:val="18"/>
          <w:szCs w:val="18"/>
          <w:color w:val="auto"/>
        </w:rPr>
      </w:pPr>
    </w:p>
    <w:p>
      <w:pPr>
        <w:ind w:left="500" w:right="60" w:hanging="492"/>
        <w:spacing w:after="0" w:line="26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recruiting and enrolling subjects to participate in clinical trials for a variety of reasons, including willingness of subjects to undergo required study procedures, meeting the enrollment criteria for our study and competition from other clinical trial programs for the same indication as our drug candidates;</w:t>
      </w:r>
    </w:p>
    <w:p>
      <w:pPr>
        <w:spacing w:after="0" w:line="73" w:lineRule="exact"/>
        <w:rPr>
          <w:rFonts w:ascii="Arial" w:cs="Arial" w:eastAsia="Arial" w:hAnsi="Arial"/>
          <w:sz w:val="18"/>
          <w:szCs w:val="18"/>
          <w:color w:val="auto"/>
        </w:rPr>
      </w:pPr>
    </w:p>
    <w:p>
      <w:pPr>
        <w:ind w:left="500" w:right="18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recruit and retain subjects in clinical trials due to the treatment protocol, personal issues, side effects from the therapy or lack of efficacy;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225" w:lineRule="exact"/>
        <w:rPr>
          <w:sz w:val="20"/>
          <w:szCs w:val="20"/>
          <w:color w:val="auto"/>
        </w:rPr>
      </w:pPr>
    </w:p>
    <w:p>
      <w:pPr>
        <w:ind w:firstLine="509"/>
        <w:spacing w:after="0" w:line="297" w:lineRule="auto"/>
        <w:rPr>
          <w:sz w:val="20"/>
          <w:szCs w:val="20"/>
          <w:color w:val="auto"/>
        </w:rPr>
      </w:pPr>
      <w:r>
        <w:rPr>
          <w:rFonts w:ascii="Arial" w:cs="Arial" w:eastAsia="Arial" w:hAnsi="Arial"/>
          <w:sz w:val="16"/>
          <w:szCs w:val="16"/>
          <w:color w:val="auto"/>
        </w:rPr>
        <w:t>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are investigating. Furthermore, we rely on CROs and clinical trial sites to ensure the proper and timely conduct of our clinical trials and while we have agreements governing their committed activities, we have limited influence over their actual performance.</w:t>
      </w:r>
    </w:p>
    <w:p>
      <w:pPr>
        <w:spacing w:after="0" w:line="158" w:lineRule="exact"/>
        <w:rPr>
          <w:sz w:val="20"/>
          <w:szCs w:val="20"/>
          <w:color w:val="auto"/>
        </w:rPr>
      </w:pPr>
    </w:p>
    <w:p>
      <w:pPr>
        <w:ind w:right="100" w:firstLine="509"/>
        <w:spacing w:after="0" w:line="264"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the DSMB for such trial or by the FDA or other regulatory authorities. Such authorities may impose such a suspension or termination due to a number of factors, including:</w:t>
      </w:r>
    </w:p>
    <w:p>
      <w:pPr>
        <w:spacing w:after="0" w:line="73"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pass inspection of the clinical trial operations or trial sites by the FDA or other regulatory authorities;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of any contract manufacturing organizations (“CMOs”), that we use to comply with current Good Manufacturing Practices (“cGMPs”);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a clinical trial presents unacceptable health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demonstrate benefit from using the drug;</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regulatory requirement and guidance; or</w:t>
      </w:r>
    </w:p>
    <w:p>
      <w:pPr>
        <w:spacing w:after="0" w:line="117"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lack of adequate funding to continue the clinical trial due to unforeseen costs resulting from enrollment delays, requirements to conduct additional trials and studies, increased expenses associated with the services of our CROs and other third parties or other reasons.</w:t>
      </w:r>
    </w:p>
    <w:p>
      <w:pPr>
        <w:spacing w:after="0" w:line="14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one or more of our product candidates.</w:t>
      </w:r>
    </w:p>
    <w:p>
      <w:pPr>
        <w:spacing w:after="0" w:line="19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submitted an NDA before and may be unable to do so for our drug candidates we are developing.</w:t>
      </w:r>
    </w:p>
    <w:p>
      <w:pPr>
        <w:spacing w:after="0" w:line="117" w:lineRule="exact"/>
        <w:rPr>
          <w:sz w:val="20"/>
          <w:szCs w:val="20"/>
          <w:color w:val="auto"/>
        </w:rPr>
      </w:pPr>
    </w:p>
    <w:p>
      <w:pPr>
        <w:ind w:right="220" w:firstLine="509"/>
        <w:spacing w:after="0" w:line="276" w:lineRule="auto"/>
        <w:rPr>
          <w:sz w:val="20"/>
          <w:szCs w:val="20"/>
          <w:color w:val="auto"/>
        </w:rPr>
      </w:pPr>
      <w:r>
        <w:rPr>
          <w:rFonts w:ascii="Arial" w:cs="Arial" w:eastAsia="Arial" w:hAnsi="Arial"/>
          <w:sz w:val="17"/>
          <w:szCs w:val="17"/>
          <w:color w:val="auto"/>
        </w:rPr>
        <w:t>The submission of a successful NDA is a complicated process. As a team, we have limited experience in preparing, submitting and prosecuting regulatory filings, and have not submitted an NDA before. Consequently, we may be unable to successfully and efficiently execute and complete clinical trials in a way that leads to an NDA submission and approval of any of our drug candidates. We may require more time and incur greater costs than our competitors and may not succeed in obtaining regulatory approvals of the drug candidates that we develop. Failure to commence or complete, or delays in, our planned clinical trials would prevent or delay commercialization of the drug candidates we are developing.</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4" w:name="page35"/>
    <w:bookmarkEnd w:id="34"/>
    <w:p>
      <w:pPr>
        <w:ind w:right="520"/>
        <w:spacing w:after="0" w:line="342" w:lineRule="auto"/>
        <w:rPr>
          <w:sz w:val="20"/>
          <w:szCs w:val="20"/>
          <w:color w:val="auto"/>
        </w:rPr>
      </w:pPr>
      <w:r>
        <w:rPr>
          <w:rFonts w:ascii="Arial" w:cs="Arial" w:eastAsia="Arial" w:hAnsi="Arial"/>
          <w:sz w:val="16"/>
          <w:szCs w:val="16"/>
          <w:b w:val="1"/>
          <w:bCs w:val="1"/>
          <w:i w:val="1"/>
          <w:iCs w:val="1"/>
          <w:color w:val="auto"/>
        </w:rPr>
        <w:t>Our drug candidates may cause serious adverse events or undesirable side effects which may delay or prevent marketing approval, or, if approval is received, require them to be taken off the market, require them to include safety warnings or otherwise limit their sales.</w:t>
      </w:r>
    </w:p>
    <w:p>
      <w:pPr>
        <w:spacing w:after="0" w:line="1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Serious adverse events or undesirable side effects from any of our drug candidates could arise either during clinical development or, if approved, after the approved product has been marketed. The results of future clinical trials may show that our drug candidates cause serious adverse events or undesirable side effects, which could interrupt, delay or halt clinical trials, resulting in delay of, or failure to obtain, marketing approval from the FDA and other regulatory authorities or could result in a more restrictive label if our drug candidates are approved.</w:t>
      </w:r>
    </w:p>
    <w:p>
      <w:pPr>
        <w:spacing w:after="0" w:line="18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If any of our drug candidates cause serious adverse events or undesirable side effects either during clinical development, or after marketing approval, if obtained:</w:t>
      </w:r>
    </w:p>
    <w:p>
      <w:pPr>
        <w:spacing w:after="0" w:line="62" w:lineRule="exact"/>
        <w:rPr>
          <w:sz w:val="20"/>
          <w:szCs w:val="20"/>
          <w:color w:val="auto"/>
        </w:rPr>
      </w:pPr>
    </w:p>
    <w:p>
      <w:pPr>
        <w:ind w:left="500" w:right="38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IRBs, or the DSMB may impose a clinical hold, or we may decide on our own to suspend or terminate a study, which could result in substantial delays and adversely impact our ability to continue development of the product;</w:t>
      </w:r>
    </w:p>
    <w:p>
      <w:pPr>
        <w:spacing w:after="0" w:line="62" w:lineRule="exact"/>
        <w:rPr>
          <w:rFonts w:ascii="Arial" w:cs="Arial" w:eastAsia="Arial" w:hAnsi="Arial"/>
          <w:sz w:val="18"/>
          <w:szCs w:val="18"/>
          <w:color w:val="auto"/>
        </w:rPr>
      </w:pPr>
    </w:p>
    <w:p>
      <w:pPr>
        <w:ind w:left="500" w:right="96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contraindications or field alerts to study subjects, investigators, physicians or pharmacies;</w:t>
      </w:r>
    </w:p>
    <w:p>
      <w:pPr>
        <w:spacing w:after="0" w:line="62" w:lineRule="exact"/>
        <w:rPr>
          <w:rFonts w:ascii="Arial" w:cs="Arial" w:eastAsia="Arial" w:hAnsi="Arial"/>
          <w:sz w:val="18"/>
          <w:szCs w:val="18"/>
          <w:color w:val="auto"/>
        </w:rPr>
      </w:pPr>
    </w:p>
    <w:p>
      <w:pPr>
        <w:ind w:left="500" w:right="6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product design or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500" w:right="60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implement a REMS, which could result in substantial cost increases or signification limitations on distribution or have a negative impact on our ability to successfully commercialize the product;</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limit the patients who can receive the product;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limitations on how we promote the product;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0" w:firstLine="509"/>
        <w:spacing w:after="0" w:line="264" w:lineRule="auto"/>
        <w:rPr>
          <w:sz w:val="20"/>
          <w:szCs w:val="20"/>
          <w:color w:val="auto"/>
        </w:rPr>
      </w:pPr>
      <w:r>
        <w:rPr>
          <w:rFonts w:ascii="Arial" w:cs="Arial" w:eastAsia="Arial" w:hAnsi="Arial"/>
          <w:sz w:val="18"/>
          <w:szCs w:val="18"/>
          <w:color w:val="auto"/>
        </w:rPr>
        <w:t>Any of these events could prevent us from obtaining approval or achieving or maintaining market acceptance of the affected product, if approved, or could substantially increase commercialization costs and expenses, which in turn could delay or prevent us from generating significant revenues from the sale of our products.</w:t>
      </w:r>
    </w:p>
    <w:p>
      <w:pPr>
        <w:spacing w:after="0" w:line="2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Late Stage Drug Candidates and our other drug candidates employ novel mechanisms of action and may never be approved or accepted by their intended markets.</w:t>
      </w:r>
    </w:p>
    <w:p>
      <w:pPr>
        <w:spacing w:after="0" w:line="170"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 xml:space="preserve">Our Late Stage Drug Candidates and a number of our other drug candidates have novel mechanisms of action and the scientific discoveries that form the basis for these drug candidates are relatively new.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targets RAGE, a novel mechanism of action for the treatment of AD. We are not aware of any other products under development that target RAGE. Even if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is approved, physicians may not be willing to use it. Evidence of the effectiveness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in patients with type 2 diabetes is limited to post-hoc sub-group analyses generated in our STEADFAST Study and a single Phase 2b study. These results may not be replicated in future clinical trials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including the Elevage Study, and the FDA may not approve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for commercial use. TTP399 selectively targets glucokinase in the liver, a novel mechanism of action for the treatment of type 1 diabetes. We are aware of only one other glucokinase activator in development in the clinic, though it lacks the liver selectivity of TTP399, and is being developed for type 2 diabetes.</w:t>
      </w:r>
    </w:p>
    <w:p>
      <w:pPr>
        <w:spacing w:after="0" w:line="16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Regulatory approval of novel drug candidates like our Late Stage Drug Candidates and our other drug candidates using novel mechanisms of action can be more expensive and take longer than other, more well-known or extensively studied pharmaceutical or biopharmaceutical products, due to our and regulatory agencies’ lack of experience with them. We are not aware of the FDA reviewing any other products targeting RAGE as a mechanism of action to date. This lack of experience may lengthen the regulatory review process, require us to conduct additional studies or clinical trials, increase our development costs, lead to changes in regulatory positions and interpretations, delay or prevent approval and commercialization of these drug candidates or lead to significant post-approval limitations or restrictions. Our future success depends on our ability to complete any future trials successfully, obtain market approval for and successfully commercialize our drug candidates, as well as our ability to develop and market those drug candidates. If we do not successfully develop and commercialize drug candidates based upon our technological approach, we may not become profitable and the value of our common stock may decline.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certain of our product candidates at sites outside the United States, and the FDA may not accept data from trials conducted in such locations.</w:t>
      </w:r>
    </w:p>
    <w:p>
      <w:pPr>
        <w:spacing w:after="0" w:line="170" w:lineRule="exact"/>
        <w:rPr>
          <w:sz w:val="20"/>
          <w:szCs w:val="20"/>
          <w:color w:val="auto"/>
        </w:rPr>
      </w:pPr>
    </w:p>
    <w:p>
      <w:pPr>
        <w:ind w:right="60" w:firstLine="749"/>
        <w:spacing w:after="0" w:line="287" w:lineRule="auto"/>
        <w:rPr>
          <w:sz w:val="20"/>
          <w:szCs w:val="20"/>
          <w:color w:val="auto"/>
        </w:rPr>
      </w:pPr>
      <w:r>
        <w:rPr>
          <w:rFonts w:ascii="Arial" w:cs="Arial" w:eastAsia="Arial" w:hAnsi="Arial"/>
          <w:sz w:val="16"/>
          <w:szCs w:val="16"/>
          <w:color w:val="auto"/>
        </w:rPr>
        <w:t>We are conducting a portion of the Elevage Study outside the United States. Also, we are required to conduct a portion of the Phase 2 MRCT outside the United States pursuant to the Huadong License Agreement. We may in the future choose to conduct additional clinical trials outside the United States. 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Generally, the patient population for any clinical trials conducted outside of the United States must be representative of the population for whom we intend to seek approval in the United States.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United States. If the FDA does not accept the data from any of our clinical trials that we determine to conduct outside the United States, it would likely result in the need for additional trials, which would be costly and time-consuming and could delay or permanently halt the development of a product candidate.</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spacing w:after="0" w:line="6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regulatory requirements that could restrict or limit our ability to conduct our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exchange fluctuations;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particularly in Asia.</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Commercialization of Our Drug Candidates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any of our drug candidates for which we receive regulatory approval do not achieve broad market acceptance, the revenues that are generated from their sales will be limited.</w:t>
      </w:r>
    </w:p>
    <w:p>
      <w:pPr>
        <w:spacing w:after="0" w:line="170"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The commercial success of our drug candidates, if approved, will depend upon the acceptance of these products among physicians, healthcare payors, patients and others in the medical community. The degree of market acceptance of our drug candidates will depend on a number of factors, including:</w:t>
      </w:r>
    </w:p>
    <w:p>
      <w:pPr>
        <w:spacing w:after="0" w:line="16"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contained in a product’s FDA-approved labeling;</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or the availability of alternative therapies for the targeted indications for any of our drug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in the approved indications for our drug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significant adverse side effects;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education, sales, marketing and distribution support;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and degree of coverage and reimbursement from third-party payors;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generics, biosimilar and over-the-counter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publicity about our drug candidates or favorable publicity about competitive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product liability claims;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government-imposed pricing restrictions.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firstLine="509"/>
        <w:spacing w:after="0" w:line="312" w:lineRule="auto"/>
        <w:rPr>
          <w:sz w:val="20"/>
          <w:szCs w:val="20"/>
          <w:color w:val="auto"/>
        </w:rPr>
      </w:pPr>
      <w:r>
        <w:rPr>
          <w:rFonts w:ascii="Arial" w:cs="Arial" w:eastAsia="Arial" w:hAnsi="Arial"/>
          <w:sz w:val="16"/>
          <w:szCs w:val="16"/>
          <w:color w:val="auto"/>
        </w:rPr>
        <w:t>If our drug candidates are approved, but do not achieve an adequate level of acceptance by physicians, healthcare payors, patients and others in the medical community, sufficient revenue may not be generated from these products, and we may not become or remain profitable. In addition, efforts to educate the medical community and third-party payors on the benefits of our drug candidates may require significant resources and may not be successful.</w:t>
      </w:r>
    </w:p>
    <w:p>
      <w:pPr>
        <w:spacing w:after="0" w:line="25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w:t>
      </w:r>
    </w:p>
    <w:p>
      <w:pPr>
        <w:spacing w:after="0" w:line="147"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We do not have a sales or marketing infrastructure and have no experience in the sale or marketing of pharmaceutical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our drug candidates, if and when they are approved, or enter into collaborations with respect to the sale and marketing of our drug candidate.</w:t>
      </w:r>
    </w:p>
    <w:p>
      <w:pPr>
        <w:spacing w:after="0" w:line="18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commercial launch of a drug candidate.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drugs on our own include:</w:t>
      </w:r>
    </w:p>
    <w:p>
      <w:pPr>
        <w:spacing w:after="0" w:line="117" w:lineRule="exact"/>
        <w:rPr>
          <w:sz w:val="20"/>
          <w:szCs w:val="20"/>
          <w:color w:val="auto"/>
        </w:rPr>
      </w:pPr>
    </w:p>
    <w:p>
      <w:pPr>
        <w:ind w:left="1000" w:hanging="492"/>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drugs;</w:t>
      </w:r>
    </w:p>
    <w:p>
      <w:pPr>
        <w:spacing w:after="0" w:line="128" w:lineRule="exact"/>
        <w:rPr>
          <w:rFonts w:ascii="Arial" w:cs="Arial" w:eastAsia="Arial" w:hAnsi="Arial"/>
          <w:sz w:val="17"/>
          <w:szCs w:val="17"/>
          <w:color w:val="auto"/>
        </w:rPr>
      </w:pPr>
    </w:p>
    <w:p>
      <w:pPr>
        <w:ind w:left="1000" w:right="220" w:hanging="492"/>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62" w:lineRule="exact"/>
        <w:rPr>
          <w:rFonts w:ascii="Arial" w:cs="Arial" w:eastAsia="Arial" w:hAnsi="Arial"/>
          <w:sz w:val="18"/>
          <w:szCs w:val="18"/>
          <w:color w:val="auto"/>
        </w:rPr>
      </w:pPr>
    </w:p>
    <w:p>
      <w:pPr>
        <w:ind w:left="1000" w:hanging="492"/>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Entering into arrangements with third parties to perform sales and marketing services may result in lower revenues from the sale of drug or the profitability of these revenues to us than if we were to market and sell any drugs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drug candidates.</w:t>
      </w:r>
    </w:p>
    <w:p>
      <w:pPr>
        <w:spacing w:after="0" w:line="3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Even if our drug candidates receive regulatory approval, we will still be subject to ongoing obligations and continued regulatory review, which may result in significant additional expense, and we may still face future development and regulatory difficulties.</w:t>
      </w:r>
    </w:p>
    <w:p>
      <w:pPr>
        <w:spacing w:after="0" w:line="17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Even if regulatory approval is obtained for any of our drug candidates, regulatory authorities may still impose significant restrictions on a product’s indicated uses or marketing or impose ongoing requirements for potentially costly post-approval studies. Given the number of high profile adverse safety events with certain drug products, regulatory authorities may require, as a condition of approval, costly REMS, which may include safety surveillance, restricted distribution and use, patient education, enhanced labeling, expedited reporting of certain adverse events, pre-approval of promotional materials and restrictions on direct-to-consumer advertising. For example, any labeling approved for any of our drug candidates may include a restriction on the term of its use, or it may not include one or more of our intended indications or patient populations. Furthermore, any new legislation addressing drug safety issues could result in delays or increased costs during the period of product development, clinical trials and regulatory review and approval, as well as increased costs to assure compliance with any new post-approval regulatory requirements.</w:t>
      </w:r>
    </w:p>
    <w:p>
      <w:pPr>
        <w:spacing w:after="0" w:line="17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drug candidates will also be subject to ongoing regulatory requirements for the labeling, packaging, storage, advertising, promotion, record-keeping and submission of safety and other post-market information. In addition, sellers of approved products, manufacturers and manufacturers’ facilities are required to comply with extensive FDA requirements, including ensuring that quality control and manufacturing procedures conform to cGMP. As such, we and our CMOs are subject to continual review and periodic inspections to assess compliance with cGMP and the terms and conditions of approvals. Accordingly, we and others with whom we work must continue to expend time, money and effort in all areas of regulatory compliance, including manufacturing, production and quality control. We will also be required to report certain adverse reactions and production problems, if any, to the FDA, and to comply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both"/>
        <w:ind w:right="80"/>
        <w:spacing w:after="0" w:line="264" w:lineRule="auto"/>
        <w:rPr>
          <w:sz w:val="20"/>
          <w:szCs w:val="20"/>
          <w:color w:val="auto"/>
        </w:rPr>
      </w:pPr>
      <w:r>
        <w:rPr>
          <w:rFonts w:ascii="Arial" w:cs="Arial" w:eastAsia="Arial" w:hAnsi="Arial"/>
          <w:sz w:val="18"/>
          <w:szCs w:val="18"/>
          <w:color w:val="auto"/>
        </w:rPr>
        <w:t>with certain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w:t>
      </w:r>
    </w:p>
    <w:p>
      <w:pPr>
        <w:spacing w:after="0" w:line="181" w:lineRule="exact"/>
        <w:rPr>
          <w:sz w:val="20"/>
          <w:szCs w:val="20"/>
          <w:color w:val="auto"/>
        </w:rPr>
      </w:pPr>
    </w:p>
    <w:p>
      <w:pPr>
        <w:ind w:right="60" w:firstLine="509"/>
        <w:spacing w:after="0" w:line="312" w:lineRule="auto"/>
        <w:rPr>
          <w:sz w:val="20"/>
          <w:szCs w:val="20"/>
          <w:color w:val="auto"/>
        </w:rPr>
      </w:pPr>
      <w:r>
        <w:rPr>
          <w:rFonts w:ascii="Arial" w:cs="Arial" w:eastAsia="Arial" w:hAnsi="Arial"/>
          <w:sz w:val="16"/>
          <w:szCs w:val="16"/>
          <w:color w:val="auto"/>
        </w:rPr>
        <w:t>If a regulatory agency discovers problems with a product, such as adverse events of unanticipated severity or frequency, or problems with the facility where the product is manufactured, or objects to the promotion, marketing or labeling of a product, it may impose restrictions on that product or us, including requiring withdrawal of the product from the market. If our drug candidates fail to comply with applicable regulatory requirements, a regulatory agency may:</w:t>
      </w:r>
    </w:p>
    <w:p>
      <w:pPr>
        <w:spacing w:after="0" w:line="39"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mandate modifications to promotional materials or require us to disseminate corrective information to healthcare practitioners or other parties;</w:t>
      </w:r>
    </w:p>
    <w:p>
      <w:pPr>
        <w:spacing w:after="0" w:line="128" w:lineRule="exact"/>
        <w:rPr>
          <w:rFonts w:ascii="Arial" w:cs="Arial" w:eastAsia="Arial" w:hAnsi="Arial"/>
          <w:sz w:val="17"/>
          <w:szCs w:val="17"/>
          <w:color w:val="auto"/>
        </w:rPr>
      </w:pPr>
    </w:p>
    <w:p>
      <w:pPr>
        <w:ind w:left="500" w:right="16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enter into a consent decree or permanent injunction,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that our existing and future drug candidates will face competition, and most of our competitors have significantly greater resources than we do.</w:t>
      </w:r>
    </w:p>
    <w:p>
      <w:pPr>
        <w:spacing w:after="0" w:line="15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 xml:space="preserve">The biopharmaceutical industry is characterized by intense competition and rapid innovation. Our potential competitors include large pharmaceutical and biotechnology companies, specialty pharmaceutical companies, generic or biosimilar drug companies, universities and other research institutions. Our drug candidates, if successfully developed and approved, will compete in crowded and competitive markets. In order to compete with approved products, our drug candidates will need to demonstrate compelling advantages. We believe the key competitive factors that will affect the development and commercial success of our drug candidates are efficacy, safety and tolerability profile, mechanism of action, control and predictability, convenience of dosing and price and reimbursement.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is being developed for use in the treatment of probable Alzheimer’s dementia in patients with type 2 diabetes. If approved for this indication, new competitors may emerge and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may face competition from several therapies currently in clinical development for AD that address different mechanisms of action than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and may serve as treatments for a broader population group than </w:t>
      </w:r>
      <w:r>
        <w:rPr>
          <w:rFonts w:ascii="Arial" w:cs="Arial" w:eastAsia="Arial" w:hAnsi="Arial"/>
          <w:sz w:val="16"/>
          <w:szCs w:val="16"/>
          <w:i w:val="1"/>
          <w:iCs w:val="1"/>
          <w:color w:val="auto"/>
        </w:rPr>
        <w:t>azeliragon</w:t>
      </w:r>
      <w:r>
        <w:rPr>
          <w:rFonts w:ascii="Arial" w:cs="Arial" w:eastAsia="Arial" w:hAnsi="Arial"/>
          <w:sz w:val="16"/>
          <w:szCs w:val="16"/>
          <w:color w:val="auto"/>
        </w:rPr>
        <w:t>.</w:t>
      </w:r>
    </w:p>
    <w:p>
      <w:pPr>
        <w:spacing w:after="0" w:line="58"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Potential competitors with products in late stage clinical development are Biogen Inc, with its drug candidate aducanumab and Roche with its drug candidate gantenerumab.</w:t>
      </w:r>
    </w:p>
    <w:p>
      <w:pPr>
        <w:spacing w:after="0" w:line="62"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Oral non-insulin agents that are currently being developed to treat type 1 diabetes that may compete with TTP399 include SGLT-1/2 inhibitors, such as sotagliflozin, being developed by Lexicon and SGLT-2 inhibitors such as AstraZeneca’s dapagliflozin and Eli Lilly/Boehringer Ingelheim’s empagliflozin. Some of these SGLT-1 and SGLT-2 inhibitors have been approved for certain sub-groups of type 1 diabetics in Europe and Japan, but these therapies have not yet been approved for use in the U.S. due to safety risks including those pertaining to diabetic ketoacidosis.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Many of our potential competitors have substantially greater:</w:t>
      </w:r>
    </w:p>
    <w:p>
      <w:pPr>
        <w:spacing w:after="0" w:line="117"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resources, including capital, personnel and technology;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research and development capability;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 expertise;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expertise;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intellectual property rights, including patent rights;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expertise in obtaining, maintaining, defending and enforcing intellectual property rights, including patent rights;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and distribution expertise;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and marketing expertise.</w:t>
      </w:r>
    </w:p>
    <w:p>
      <w:pPr>
        <w:spacing w:after="0" w:line="225" w:lineRule="exact"/>
        <w:rPr>
          <w:sz w:val="20"/>
          <w:szCs w:val="20"/>
          <w:color w:val="auto"/>
        </w:rPr>
      </w:pPr>
    </w:p>
    <w:p>
      <w:pPr>
        <w:jc w:val="both"/>
        <w:ind w:right="280" w:firstLine="509"/>
        <w:spacing w:after="0" w:line="264" w:lineRule="auto"/>
        <w:rPr>
          <w:sz w:val="20"/>
          <w:szCs w:val="20"/>
          <w:color w:val="auto"/>
        </w:rPr>
      </w:pPr>
      <w:r>
        <w:rPr>
          <w:rFonts w:ascii="Arial" w:cs="Arial" w:eastAsia="Arial" w:hAnsi="Arial"/>
          <w:sz w:val="18"/>
          <w:szCs w:val="18"/>
          <w:color w:val="auto"/>
        </w:rPr>
        <w:t>In addition, academic and government institutions are increasingly likely to enter into exclusive licensing agreements with commercial enterprises, including our competitors, to market commercial products based on technology developed at such institutions. Many of these competitors have significant products approved or in development that could be competitive with our products.</w:t>
      </w:r>
    </w:p>
    <w:p>
      <w:pPr>
        <w:spacing w:after="0" w:line="181" w:lineRule="exact"/>
        <w:rPr>
          <w:sz w:val="20"/>
          <w:szCs w:val="20"/>
          <w:color w:val="auto"/>
        </w:rPr>
      </w:pPr>
    </w:p>
    <w:p>
      <w:pPr>
        <w:ind w:right="40" w:firstLine="509"/>
        <w:spacing w:after="0" w:line="297" w:lineRule="auto"/>
        <w:rPr>
          <w:sz w:val="20"/>
          <w:szCs w:val="20"/>
          <w:color w:val="auto"/>
        </w:rPr>
      </w:pPr>
      <w:r>
        <w:rPr>
          <w:rFonts w:ascii="Arial" w:cs="Arial" w:eastAsia="Arial" w:hAnsi="Arial"/>
          <w:sz w:val="16"/>
          <w:szCs w:val="16"/>
          <w:color w:val="auto"/>
        </w:rPr>
        <w:t>Accordingly, our competitors may be more successful than us in obtaining regulatory approval for drugs and achieving widespread market acceptance. Our competitors’ drugs may be more effective, less costly, or more effectively marketed and sold, than any drug candidate we may commercialize and may render our drug candidates obsolete or non-competitive before we can recover the expenses of their development and commercialization. We anticipate that we will face intense and increasing competition as new drugs enter the market and advanced technologies become available. Finally, the development of new treatment methods for the diseases we are targeting could render our drug candidates non-competitive or obsolete.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cost containment initiatives and the growth of managed care may limit our revenues and profitability.</w:t>
      </w:r>
    </w:p>
    <w:p>
      <w:pPr>
        <w:spacing w:after="0" w:line="11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Our ability to commercialize our products successfully may be negatively affected by the ongoing efforts of governmental and third-party payors to contain the cost of health care. In the United States, there have been and continue to be a number of legislative initiatives to contain healthcare costs. For example, in March 2010, the Patient Protection and Affordable Care Act of 2010, as amended by the Health Care and Education Reconciliation Act (collectively, the “Affordable Care Act”), was passed, which substantially changes the way health care is financed by both governmental and private insurers, and significantly impacts the U.S. pharmaceutical industry. The Affordable Care Act,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established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93"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automatic reductions include aggregate reductions of Medicare payments to providers of 2% per fiscal year, which went into effect in April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providers, including hospitals, imaging centers and cancer treatment centers.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7"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became effective in 2019. According to the Congressional Budget Office, the repeal of the individual mandate will cause 13 million fewer Americans to be insured in 2027 and premiums in insurance markets may rise. Further, each chamber of Congress has put forth multiple bills designed to repeal or repeal and replace portions of the ACA. Although none of these measures has been enacted by Congress to date, Congress may consider other legislation to repeal and replace elements of the ACA. Congress will likely consider other legislation to replace elements of the ACA, during the next Congressional session. It is possible that repeal and replacement initiatives, if enacted into law, could ultimately result in fewer individuals having health insurance coverage or in individuals having insurance coverage with less generous benefits. Finally, the Further Consolidated Appropriations Act, 2020, repealed certain taxes enacted in connection with the ACA, including the “Cadillac” tax and the annual fee on health insurance providers. While the timing and scope of any potential future legislation to repeal and replace ACA provisions is highly uncertain in many respects, it is also possible that some of the ACA provisions that generally are not favorable for the research-based pharmaceutical industry could also be repealed along with ACA coverage expansion provision.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ind w:right="60" w:firstLine="509"/>
        <w:spacing w:after="0" w:line="264"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18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8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costs of prescription pharmaceuticals has also been the subject of considerable discussion in the United States, and members of Congress and the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House of Representatives passed H.R. 3 in 2019, a bill designed to make significant changes to Medicare to create new vision, dental, and hearing benefits and cap out-of-pocket drug costs for Medicare beneficiaries. In parallel, Senate Finance Committee Chairman Chuck Grassley and Ranking Member Ron Wyden have introduced the Prescription Drug Pricing Reduction Act of 2019. Though President Trump has made lowering prescription drug prices a central component of his 2020 presidential re-election campaign, he has vowed to veto H.R. 3, in the event the bill is taken up in the Senate. While these and any proposed measures will require authorization through additional legislation to become effective, Congress and the Trump administration have each indicated that it will continue to seek new legislative and/or administrative measures to control drug costs.</w:t>
      </w:r>
    </w:p>
    <w:p>
      <w:pPr>
        <w:spacing w:after="0" w:line="18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our other drug candidates and affect the prices we, or they, may obtain.</w:t>
      </w:r>
    </w:p>
    <w:p>
      <w:pPr>
        <w:spacing w:after="0" w:line="170" w:lineRule="exact"/>
        <w:rPr>
          <w:sz w:val="20"/>
          <w:szCs w:val="20"/>
          <w:color w:val="auto"/>
        </w:rPr>
      </w:pPr>
    </w:p>
    <w:p>
      <w:pPr>
        <w:ind w:right="80" w:firstLine="509"/>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73"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may affect our ability to profitably commercialize our products. In addition to continuing pressure on prices and cost containment measures, legislative developments at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European Union or member state level may result in significant additional requirements or obstacles that may increase our operating costs.</w:t>
      </w:r>
    </w:p>
    <w:p>
      <w:pPr>
        <w:spacing w:after="0" w:line="23"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United States Congress of the FDA’s approval process may significantly delay or prevent marketing approval, as well as subject us and any future collaborators to more stringent drug labeling and post-marketing testing and other requirements.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drugs that we may develop.</w:t>
      </w:r>
    </w:p>
    <w:p>
      <w:pPr>
        <w:spacing w:after="0" w:line="248"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will face an even greater risk if we commercially sell any drugs that we may develop. If we cannot successfully defend ourselves against claims that our drug candidates or drugs caused injuries, we will incur substantial liabilities. Regardless of merit or eventual outcome, liability claims may result in:</w:t>
      </w:r>
    </w:p>
    <w:p>
      <w:pPr>
        <w:spacing w:after="0" w:line="57"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drug candidates or drugs that we may develop;</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drugs that we may develop.</w:t>
      </w:r>
    </w:p>
    <w:p>
      <w:pPr>
        <w:spacing w:after="0" w:line="225" w:lineRule="exact"/>
        <w:rPr>
          <w:sz w:val="20"/>
          <w:szCs w:val="20"/>
          <w:color w:val="auto"/>
        </w:rPr>
      </w:pPr>
    </w:p>
    <w:p>
      <w:pPr>
        <w:jc w:val="both"/>
        <w:ind w:right="160" w:firstLine="509"/>
        <w:spacing w:after="0" w:line="312" w:lineRule="auto"/>
        <w:rPr>
          <w:sz w:val="20"/>
          <w:szCs w:val="20"/>
          <w:color w:val="auto"/>
        </w:rPr>
      </w:pPr>
      <w:r>
        <w:rPr>
          <w:rFonts w:ascii="Arial" w:cs="Arial" w:eastAsia="Arial" w:hAnsi="Arial"/>
          <w:sz w:val="16"/>
          <w:szCs w:val="16"/>
          <w:color w:val="auto"/>
        </w:rPr>
        <w:t>We currently hold clinical trial liability insurance coverage, but that coverage may not be adequate to cover any and all liabilities that we may incur. We would need to increase our insurance coverage when we begin the commercialization of our drug candidates, if ever. Insurance coverage is increasingly expensive. We may not be able to maintain insurance coverage at a reasonable cost or in an amount adequate to satisfy any liability that may arise.</w:t>
      </w:r>
    </w:p>
    <w:p>
      <w:pPr>
        <w:spacing w:after="0" w:line="25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(actual and potential) and third-party payors in the United States and elsewhere may be subject, directly or indirectly, to applicable healthcare laws and regulations.</w:t>
      </w:r>
    </w:p>
    <w:p>
      <w:pPr>
        <w:spacing w:after="0" w:line="124"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drug candidates for which we obtain marketing approval. Our current and future arrangements with healthcare professionals, principal investigators, consultants, customers (actual and potential) and third-party payors may expose us to broadly applicable fraud and abuse and other healthcare laws, including, without limitation:</w:t>
      </w:r>
    </w:p>
    <w:p>
      <w:pPr>
        <w:spacing w:after="0" w:line="79" w:lineRule="exact"/>
        <w:rPr>
          <w:sz w:val="20"/>
          <w:szCs w:val="20"/>
          <w:color w:val="auto"/>
        </w:rPr>
      </w:pPr>
    </w:p>
    <w:p>
      <w:pPr>
        <w:ind w:left="500" w:hanging="492"/>
        <w:spacing w:after="0" w:line="269"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Food, Drug and Cosmetic Act (“FDCA”) is the statute that provides the FDA with authority to oversee the safety and approval of pharmaceutical products. The FDCA vests authority with FDA to conduct inspections of sponsors conducting pharmaceutical development, such as vTv, to protect the rights, safety and welfare of clinical trial subjects, ensure the accuracy and reliability of clinical trial data, and verify compliance with FDA regulations. The FDCA sets forth the standards for approval of new and generic drugs, as well as setting forth the prohibition on marketing investigational products that have not been approved by the FDA as safe and effective. The government (FDA and SEC) use the FDCA to ensure that companies do not mislead the medical, patient or investor communities about investigational products prior to their approval. To that end, the FDCA prohibits “off-label promotion” of any investigational or approved product for any uses, doses or populations, except that set forth in the full prescribing information approved by the FDA. While physicians can prescribe a product for any dose, purpose or population in their medical judgment, manufacturers can only market products for their FDA-approved dose, purpose and population. There are significant civil and criminal penalties that attach to violations of the FDCA, including strict liability misdemeanors for responsible corporate officers, even if such officers were not involved in or aware of the underlying wrongdoing;</w:t>
      </w:r>
    </w:p>
    <w:p>
      <w:pPr>
        <w:spacing w:after="0" w:line="74" w:lineRule="exact"/>
        <w:rPr>
          <w:rFonts w:ascii="Arial" w:cs="Arial" w:eastAsia="Arial" w:hAnsi="Arial"/>
          <w:sz w:val="17"/>
          <w:szCs w:val="17"/>
          <w:color w:val="auto"/>
        </w:rPr>
      </w:pPr>
    </w:p>
    <w:p>
      <w:pPr>
        <w:ind w:left="500" w:right="6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 w:name="page42"/>
    <w:bookmarkEnd w:id="41"/>
    <w:p>
      <w:pPr>
        <w:ind w:left="500"/>
        <w:spacing w:after="0" w:line="257" w:lineRule="auto"/>
        <w:rPr>
          <w:sz w:val="20"/>
          <w:szCs w:val="20"/>
          <w:color w:val="auto"/>
        </w:rPr>
      </w:pPr>
      <w:r>
        <w:rPr>
          <w:rFonts w:ascii="Arial" w:cs="Arial" w:eastAsia="Arial" w:hAnsi="Arial"/>
          <w:sz w:val="18"/>
          <w:szCs w:val="18"/>
          <w:color w:val="auto"/>
        </w:rPr>
        <w:t>referral of an individual for, or the purchase, lease, order or recommendation of, any good, facility, item or service, for which payment may be made, in whole or in part, under federal and state healthcare programs such as Medicare and Medicaid. A person or entity does not need to have actual knowledge of the statute or specific intent to violate it to have committed a violation. In addition, the Affordable Care Act provided that the government may assert that a claim including items or services resulting from a violation of the federal Anti-Kickback Statute constitutes a false or fraudulent claim for purposes of the False Claims Act;</w:t>
      </w:r>
    </w:p>
    <w:p>
      <w:pPr>
        <w:spacing w:after="0" w:line="80" w:lineRule="exact"/>
        <w:rPr>
          <w:sz w:val="20"/>
          <w:szCs w:val="20"/>
          <w:color w:val="auto"/>
        </w:rPr>
      </w:pPr>
    </w:p>
    <w:p>
      <w:pPr>
        <w:ind w:left="500" w:right="400" w:hanging="492"/>
        <w:spacing w:after="0" w:line="259"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federal False Claims Act, which impose criminal and civil penalties, including civil whistleblower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500" w:right="80" w:hanging="492"/>
        <w:spacing w:after="0" w:line="25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Foreign Corrupt Practices Act that prohibits payments to foreign public officials relating to official acts. In addition to its prohibition on bribery of foreign government officials, the Act requires companies to maintain accurate records and have vigorous internal controls. The DOJ and SEC have made FCPA enforcement a high priority. In addition, other anti-corruption laws such as the UK Bribery Act are even broader than the FCPA in that they apply to bribes offered to any person, not just government officials. There are significant criminal and civil penalties and fines that attach to violations of the FCPA;</w:t>
      </w:r>
    </w:p>
    <w:p>
      <w:pPr>
        <w:spacing w:after="0" w:line="80" w:lineRule="exact"/>
        <w:rPr>
          <w:rFonts w:ascii="Arial" w:cs="Arial" w:eastAsia="Arial" w:hAnsi="Arial"/>
          <w:sz w:val="18"/>
          <w:szCs w:val="18"/>
          <w:color w:val="auto"/>
        </w:rPr>
      </w:pPr>
    </w:p>
    <w:p>
      <w:pPr>
        <w:ind w:left="500" w:right="100" w:hanging="49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73" w:lineRule="exact"/>
        <w:rPr>
          <w:rFonts w:ascii="Arial" w:cs="Arial" w:eastAsia="Arial" w:hAnsi="Arial"/>
          <w:sz w:val="18"/>
          <w:szCs w:val="18"/>
          <w:color w:val="auto"/>
        </w:rPr>
      </w:pPr>
    </w:p>
    <w:p>
      <w:pPr>
        <w:ind w:left="500" w:hanging="492"/>
        <w:spacing w:after="0" w:line="272"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 to have committed a violation;</w:t>
      </w:r>
    </w:p>
    <w:p>
      <w:pPr>
        <w:spacing w:after="0" w:line="69" w:lineRule="exact"/>
        <w:rPr>
          <w:rFonts w:ascii="Arial" w:cs="Arial" w:eastAsia="Arial" w:hAnsi="Arial"/>
          <w:sz w:val="17"/>
          <w:szCs w:val="17"/>
          <w:color w:val="auto"/>
        </w:rPr>
      </w:pPr>
    </w:p>
    <w:p>
      <w:pPr>
        <w:ind w:left="500" w:right="160" w:hanging="492"/>
        <w:spacing w:after="0" w:line="259"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entities, including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500" w:right="40" w:hanging="49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Physician Payments Sunshine Act and its implementing regulations, which imposed annual reporting requirements for certain manufacturers of drugs, devices, biologicals and medical supplies for payments and “transfers of value” provided to physicians and teaching hospitals, as well as ownership and investment interests held by physicians and their immediate family members; and</w:t>
      </w:r>
    </w:p>
    <w:p>
      <w:pPr>
        <w:spacing w:after="0" w:line="73" w:lineRule="exact"/>
        <w:rPr>
          <w:rFonts w:ascii="Arial" w:cs="Arial" w:eastAsia="Arial" w:hAnsi="Arial"/>
          <w:sz w:val="18"/>
          <w:szCs w:val="18"/>
          <w:color w:val="auto"/>
        </w:rPr>
      </w:pPr>
    </w:p>
    <w:p>
      <w:pPr>
        <w:ind w:left="500" w:right="80" w:hanging="492"/>
        <w:spacing w:after="0" w:line="291"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6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Efforts to ensure that our future business arrangements with third parties will comply with applicable healthcare laws and regulations may involve substantial costs. It is possible that governmental authorities will conclude that our business activities, including our relationships with physician consultants, some of whom may prescribe our product candidates, if approved, in the future,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significantly harm our business.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ind w:right="20"/>
        <w:spacing w:after="0" w:line="286" w:lineRule="auto"/>
        <w:rPr>
          <w:sz w:val="20"/>
          <w:szCs w:val="20"/>
          <w:color w:val="auto"/>
        </w:rPr>
      </w:pPr>
      <w:r>
        <w:rPr>
          <w:rFonts w:ascii="Arial" w:cs="Arial" w:eastAsia="Arial" w:hAnsi="Arial"/>
          <w:sz w:val="17"/>
          <w:szCs w:val="17"/>
          <w:b w:val="1"/>
          <w:bCs w:val="1"/>
          <w:i w:val="1"/>
          <w:iCs w:val="1"/>
          <w:color w:val="auto"/>
        </w:rPr>
        <w:t>If we try to obtain approval to commercialize any products outside the United States, many of the same risks that apply to obtaining approvals in the United States will likely apply to such a process, and even if we obtain approval to commercialize any such products outside of the United States, a variety of risks associated with international operations could materially adversely affect our business.</w:t>
      </w:r>
    </w:p>
    <w:p>
      <w:pPr>
        <w:spacing w:after="0" w:line="166"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If we try to obtain approval to commercialize any of our products outside the United States, many of the same risks with respect to obtaining such approvals in the United States will apply to that process. If any of our drug candidates are approved for commercialization outside of the United States, we intend to enter into agreements with third parties to market them on a worldwide basis or in more limited geographical regions. In that event, we expect that we will be subject to additional risks related to entering into international business relationships, including:</w:t>
      </w:r>
    </w:p>
    <w:p>
      <w:pPr>
        <w:spacing w:after="0" w:line="63"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 secret and patent rights;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existing tariffs, trade barriers and regulatory requirements and expected or unexpected changes;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foreign economies and markets;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500" w:right="56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or less common than in the United States;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500" w:right="22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hurricanes, floods and fires;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Dependence on Third Parties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succeed in establishing and maintaining collaborative relationships, which may significantly limit our ability to develop and commercialize our drug candidates successfully, if at all.</w:t>
      </w:r>
    </w:p>
    <w:p>
      <w:pPr>
        <w:spacing w:after="0" w:line="170"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 xml:space="preserve">We intend to seek collaborative relationships for the development and/or commercialization of our drug candidates, including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w:t>
      </w:r>
      <w:r>
        <w:rPr>
          <w:rFonts w:ascii="Arial" w:cs="Arial" w:eastAsia="Arial" w:hAnsi="Arial"/>
          <w:sz w:val="18"/>
          <w:szCs w:val="18"/>
          <w:i w:val="1"/>
          <w:iCs w:val="1"/>
          <w:color w:val="auto"/>
        </w:rPr>
        <w:t>azeliragon</w:t>
      </w:r>
      <w:r>
        <w:rPr>
          <w:rFonts w:ascii="Arial" w:cs="Arial" w:eastAsia="Arial" w:hAnsi="Arial"/>
          <w:sz w:val="18"/>
          <w:szCs w:val="18"/>
          <w:color w:val="auto"/>
        </w:rPr>
        <w:t>. Failure to obtain a collaborative relationship for these candidates, particularly in the European Union and for other markets requiring extensive sales efforts, may significantly impair the potential for our drug candidates. We also will need to enter into collaborative relationships to provide funding to support our other research and development programs. The process of establishing and maintaining collaborative relationships is difficult, time-consuming and involves significant uncertainty, including:</w:t>
      </w:r>
    </w:p>
    <w:p>
      <w:pPr>
        <w:spacing w:after="0" w:line="80" w:lineRule="exact"/>
        <w:rPr>
          <w:sz w:val="20"/>
          <w:szCs w:val="20"/>
          <w:color w:val="auto"/>
        </w:rPr>
      </w:pPr>
    </w:p>
    <w:p>
      <w:pPr>
        <w:ind w:left="500" w:right="62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collaboration partner may shift its priorities and resources away from our drug candidates due to a change in business strategies, or a merger, acquisition, sale or downsizing;</w:t>
      </w:r>
    </w:p>
    <w:p>
      <w:pPr>
        <w:spacing w:after="0" w:line="62"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collaboration partner may seek to renegotiate or terminate their relationships with us due to unsatisfactory clinical results, manufacturing issues, a change in business strategy, a change of control or other reasons;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collaboration partner may cease development in therapeutic areas which are the subject of our strategic collaboration;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collaboration partner may not devote sufficient capital or resources towards our drug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collaboration partner may change the success criteria for a drug candidate thereby delaying or ceasing development of such candidate;</w:t>
      </w:r>
    </w:p>
    <w:p>
      <w:pPr>
        <w:spacing w:after="0" w:line="128"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 collaboration partner will also delay payment of milestones tied to such activities, thereby impacting our ability to fund our own activities;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collaboration partner could develop a product that competes, either directly or indirectly, with our drug candidate;</w:t>
      </w:r>
    </w:p>
    <w:p>
      <w:pPr>
        <w:spacing w:after="0" w:line="117"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collaboration partner with commercialization obligations may not commit sufficient financial or human resources to the marketing, distribution or sale of a product;</w:t>
      </w:r>
    </w:p>
    <w:p>
      <w:pPr>
        <w:spacing w:after="0" w:line="62" w:lineRule="exact"/>
        <w:rPr>
          <w:rFonts w:ascii="Arial" w:cs="Arial" w:eastAsia="Arial" w:hAnsi="Arial"/>
          <w:sz w:val="18"/>
          <w:szCs w:val="18"/>
          <w:color w:val="auto"/>
        </w:rPr>
      </w:pPr>
    </w:p>
    <w:p>
      <w:pPr>
        <w:ind w:left="500" w:right="62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collaboration partner with manufacturing responsibilities may encounter regulatory, resource or quality issues and be unable to meet demand requirements;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3" w:name="page44"/>
    <w:bookmarkEnd w:id="43"/>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partner may exercise a contractual right to terminate a strategic alliance;</w:t>
      </w:r>
    </w:p>
    <w:p>
      <w:pPr>
        <w:spacing w:after="0" w:line="117" w:lineRule="exact"/>
        <w:rPr>
          <w:rFonts w:ascii="Arial" w:cs="Arial" w:eastAsia="Arial" w:hAnsi="Arial"/>
          <w:sz w:val="18"/>
          <w:szCs w:val="18"/>
          <w:color w:val="auto"/>
        </w:rPr>
      </w:pPr>
    </w:p>
    <w:p>
      <w:pPr>
        <w:ind w:left="500" w:right="300" w:hanging="492"/>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dispute may arise between us and a partner concerning the research, development or commercialization of a drug candidate resulting in a delay in milestones, royalty payments or termination of an alliance and possibly resulting in costly litigation or arbitration which may divert management attention and resources; and</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partner may use our products or technology in such a way as to invite litigation from a third party.</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Any collaborative partners we enter into agreements with in the future may shift their priorities and resources away from our drug candidates or seek to renegotiate or terminate their relationships with us. 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or to successfully transition terminated collaborative agreements, we may have to delay or discontinue further development of one or more of our drug candidates, undertake development and commercialization activities at our own expense or find alternative sources of capital.</w:t>
      </w:r>
    </w:p>
    <w:p>
      <w:pPr>
        <w:spacing w:after="0" w:line="2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supervise and monitor certain of our clinical trials, and if those third parties perform in an unsatisfactory manner, it may harm our business.</w:t>
      </w:r>
    </w:p>
    <w:p>
      <w:pPr>
        <w:spacing w:after="0" w:line="170"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We rely on contract research organizations (“CROs”) and clinical trial sites to ensure the proper and timely conduct of certain of our clinical trials. While we have agreements governing their activities, and continue to monitor their compliance with those agreements as well as federal standards and regulations, we have limited influence over their actual performance. We will control only certain aspects of our CROs’ activities. Nevertheless, we will be responsible for ensuring that our clinical trials are conducted in accordance with the applicable protocol, legal, regulatory and scientific standards and our reliance on the CROs does not relieve us of our regulatory responsibilities.</w:t>
      </w:r>
    </w:p>
    <w:p>
      <w:pPr>
        <w:spacing w:after="0" w:line="188"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We and our CROs are required to comply with the FDA’s good clinical practices requirements (“GCPs”) for conducting, recording and reporting the results of clinical trials to assure that data and reported results are credible and accurate and that the rights, integrity and confidentiality of clinical trial participants are protected. The FDA enforces these GCPs through periodic inspections of trial sponsors, principal investigators and clinical trial sites. If we or our CROs fail to comply with applicable GCPs, the clinical data generated in our clinical trials may be deemed unreliable and the FDA may require us to perform additional clinical trials before approving any marketing applications. Upon inspection, the FDA may determine that our clinical trials did not comply with GCPs. In addition, our clinical trials conducted by third parties will require a sufficiently large number of test subjects to evaluate the safety and effectiveness of a drug candidate. Accordingly, if our CROs fail to comply with these regulations or fail to recruit a sufficient number of patients, our clinical trials may be delayed or we may be required to repeat such clinical trials, which would delay the regulatory approval process.</w:t>
      </w:r>
    </w:p>
    <w:p>
      <w:pPr>
        <w:spacing w:after="0" w:line="166"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Our CROs are not our employees, and although we monitor their activities related to our trials, we are not able to control whether or not they devote sufficient time and resources to our clinical trials.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drug candidates. As a result, our financial results and the commercial prospects for such drug candidates would be harmed, our costs could increase, and our ability to generate revenues could be delayed.</w:t>
      </w:r>
    </w:p>
    <w:p>
      <w:pPr>
        <w:spacing w:after="0" w:line="178" w:lineRule="exact"/>
        <w:rPr>
          <w:sz w:val="20"/>
          <w:szCs w:val="20"/>
          <w:color w:val="auto"/>
        </w:rPr>
      </w:pPr>
    </w:p>
    <w:p>
      <w:pPr>
        <w:ind w:right="20" w:firstLine="509"/>
        <w:spacing w:after="0" w:line="264" w:lineRule="auto"/>
        <w:rPr>
          <w:sz w:val="20"/>
          <w:szCs w:val="20"/>
          <w:color w:val="auto"/>
        </w:rPr>
      </w:pPr>
      <w:r>
        <w:rPr>
          <w:rFonts w:ascii="Arial" w:cs="Arial" w:eastAsia="Arial" w:hAnsi="Arial"/>
          <w:sz w:val="18"/>
          <w:szCs w:val="18"/>
          <w:color w:val="auto"/>
        </w:rPr>
        <w:t>We also rely on other third parties to store and distribute drug products for our clinical trials. Any performance failure on the part of our distributors could delay clinical development or marketing approval of our drug candidates or commercialization of our products, if approved, producing additional losses and depriving us of potential product revenue.</w:t>
      </w:r>
    </w:p>
    <w:p>
      <w:pPr>
        <w:spacing w:after="0" w:line="2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do not have multiple sources of supply for the components used in our Late Stage Drug Candidates and our other drug candidates. If we were to lose a supplier, it could have a material adverse effect on our ability to complete the development of our Late Stage Drug Candidates or our other drug candidates. If we obtain regulatory approval for our Late Stage Drug Candidates or our other drug candidates, we would need to expand the supply of their components in order to commercialize them.</w:t>
      </w:r>
    </w:p>
    <w:p>
      <w:pPr>
        <w:spacing w:after="0" w:line="79"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do not have multiple sources of supply for the components used in our drug candidates. We also do not have long-term supply agreements with any of our suppliers. If for any reason we are unable to obtain drug substance or drug product from the manufacturers we select, we would have to seek to obtain these from other manufacturers. We may not be able to establish additional sources of supply for our drug candidates, or may be unable to do so on acceptable terms. Such suppliers are subject to regulatory requirements, covering manufacturing, testing, quality control and record keeping relating to our drug candidates and subject to ongoing inspections by the regulatory agencies. Failure by any of our suppliers to comply with applicable regulations may result in long delays and interruptions.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right="160" w:firstLine="509"/>
        <w:spacing w:after="0" w:line="264" w:lineRule="auto"/>
        <w:rPr>
          <w:sz w:val="20"/>
          <w:szCs w:val="20"/>
          <w:color w:val="auto"/>
        </w:rPr>
      </w:pPr>
      <w:r>
        <w:rPr>
          <w:rFonts w:ascii="Arial" w:cs="Arial" w:eastAsia="Arial" w:hAnsi="Arial"/>
          <w:sz w:val="18"/>
          <w:szCs w:val="18"/>
          <w:color w:val="auto"/>
        </w:rPr>
        <w:t>The number of suppliers of the raw material components of our drug candidates is limited. In the event it is necessary or desirable to acquire supplies from an alternative supplier, we might not be able to obtain them on commercially reasonable terms, if at all. It could also require significant time and expense to redesign our manufacturing processes to work with another company.</w:t>
      </w:r>
    </w:p>
    <w:p>
      <w:pPr>
        <w:spacing w:after="0" w:line="18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As part of any marketing approval, a manufacturer and its processes are required to be qualified by the FDA prior to commercialization. If supply from the approved supplier is interrupted, there could be a significant disruption in commercial supply. An alternative vendor would need to be qualified through an NDA amendment or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88" w:lineRule="exact"/>
        <w:rPr>
          <w:sz w:val="20"/>
          <w:szCs w:val="20"/>
          <w:color w:val="auto"/>
        </w:rPr>
      </w:pPr>
    </w:p>
    <w:p>
      <w:pPr>
        <w:ind w:right="520" w:firstLine="509"/>
        <w:spacing w:after="0" w:line="308" w:lineRule="auto"/>
        <w:rPr>
          <w:sz w:val="20"/>
          <w:szCs w:val="20"/>
          <w:color w:val="auto"/>
        </w:rPr>
      </w:pPr>
      <w:r>
        <w:rPr>
          <w:rFonts w:ascii="Arial" w:cs="Arial" w:eastAsia="Arial" w:hAnsi="Arial"/>
          <w:sz w:val="17"/>
          <w:szCs w:val="17"/>
          <w:color w:val="auto"/>
        </w:rPr>
        <w:t>If we are unable to obtain the supplies we need at a reasonable price or on a timely basis, it could have a material adverse effect on our ability to complete the development of our drug candidates or, if we obtain regulatory approval for our drug candidates, to commercialize them.</w:t>
      </w:r>
    </w:p>
    <w:p>
      <w:pPr>
        <w:spacing w:after="0" w:line="25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drug candidates. If we experience problems with any of these suppliers, the manufacturing of our drug candidates or products could be delayed.</w:t>
      </w:r>
    </w:p>
    <w:p>
      <w:pPr>
        <w:spacing w:after="0" w:line="62"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We do not have the capability to manufacture our drug candidates and do not intend to develop that capability. In order to continue to develop our drug candidates, apply for regulatory approvals and ultimately commercialize products, we need to develop, contract for or otherwise arrange for the necessary manufacturing capabilities. The facilities used by our CMOs to manufacture our drug candidates must be approved by the FDA pursuant to inspections that will be conducted after we submit our NDA to the FDA. We do not control the manufacturing process of, and are completely dependent on, our contract manufacturing partners for compliance with the regulatory requirements, known as cGMPs, for manufacture of both active drug substances and finished drug products. If our CMOs cannot successfully manufacture material that conforms to our specifications and the regulatory requirements of the FDA or others, they will not be able to secure and/or maintain regulatory approval for their manufacturing facilities. In addition, although we monitor our suppliers and their compliance with our contractual terms and federal laws and regulations, we do not control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73"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addition, there are a limited number of manufacturers that operate under the FDA’s cGMP regulations capable of manufacturing our drug candidates. As a result, we may have difficulty finding manufacturers for our drug candidates with adequate capacity for our needs. If we are unable to arrange for third-party manufacturing of our drug candidates on a timely basis, or to do so on commercially reasonable terms, we may not be able to complete development of our drug candidates or market them.</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Reliance on third-party manufacturers entails risks to which we might not be subject if we manufactured drug candidates ourselves, including:</w:t>
      </w:r>
    </w:p>
    <w:p>
      <w:pPr>
        <w:spacing w:after="0" w:line="129"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limited number of manufacturers that could produce our drug candidates for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meet our product specifications and quality requirements consistently;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access production facilities on a timely basis;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or delay in increasing manufacturing capacity;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commercial level activity;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failure to satisfy the FDA’s cGMP requirements and similar foreign standards on a consistent basis;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117" w:lineRule="exact"/>
        <w:rPr>
          <w:rFonts w:ascii="Arial" w:cs="Arial" w:eastAsia="Arial" w:hAnsi="Arial"/>
          <w:sz w:val="18"/>
          <w:szCs w:val="18"/>
          <w:color w:val="auto"/>
        </w:rPr>
      </w:pPr>
    </w:p>
    <w:p>
      <w:pPr>
        <w:ind w:left="500" w:right="22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reliance on a single source of supply which, if unavailable, would delay our ability to complete our clinical trials or to sell any product for which we have received marketing approval;</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qualified backup suppliers for supplies that are currently purchased from a single source supplier;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to deliver products under specified storage conditions and in a timely manner.</w:t>
      </w:r>
    </w:p>
    <w:p>
      <w:pPr>
        <w:spacing w:after="0" w:line="225"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Any of these risks could cause the delay of clinical trials, regulatory submissions, required approvals or commercialization of our products, cause us to incur higher costs and prevent us from commercializing our drug candidates successfully. Manufacturing of our drug candidates and any approved products could be disrupted or halted if our third-party manufacturers do not comply with cGMP or foreign manufacturing standards, even if the compliance failure does not relate to our drug candidates or approved products. Furthermore, if any of our drug candidates are approved and our third-party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drug candidates and to have any such new source approved by the FDA or a foreign regulator.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commercial success will depend in part on our ability to:</w:t>
      </w:r>
    </w:p>
    <w:p>
      <w:pPr>
        <w:spacing w:after="0" w:line="117"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apply for, obtain, maintain and enforce patents;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protect trade secrets and other confidential and proprietary information;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operate without infringing upon the proprietary rights of others.</w:t>
      </w:r>
    </w:p>
    <w:p>
      <w:pPr>
        <w:spacing w:after="0" w:line="225" w:lineRule="exact"/>
        <w:rPr>
          <w:sz w:val="20"/>
          <w:szCs w:val="20"/>
          <w:color w:val="auto"/>
        </w:rPr>
      </w:pPr>
    </w:p>
    <w:p>
      <w:pPr>
        <w:jc w:val="both"/>
        <w:ind w:right="120" w:firstLine="509"/>
        <w:spacing w:after="0" w:line="259" w:lineRule="auto"/>
        <w:rPr>
          <w:sz w:val="20"/>
          <w:szCs w:val="20"/>
          <w:color w:val="auto"/>
        </w:rPr>
      </w:pPr>
      <w:r>
        <w:rPr>
          <w:rFonts w:ascii="Arial" w:cs="Arial" w:eastAsia="Arial" w:hAnsi="Arial"/>
          <w:sz w:val="18"/>
          <w:szCs w:val="18"/>
          <w:color w:val="auto"/>
        </w:rPr>
        <w:t>We will be able to protect our proprietary technology from unauthorized use by third parties only to the extent that such proprietary rights are covered by regulatory exclusivity, valid and enforceable patents or are effectively maintained as trade secrets. Any non-confidential disclosure to or misappropriation by third parties of our confidential or proprietary information could enable competitors to quickly duplicate or surpass our technological achievements, thus eroding our competitive position in our market.</w:t>
      </w:r>
    </w:p>
    <w:p>
      <w:pPr>
        <w:spacing w:after="0" w:line="187" w:lineRule="exact"/>
        <w:rPr>
          <w:sz w:val="20"/>
          <w:szCs w:val="20"/>
          <w:color w:val="auto"/>
        </w:rPr>
      </w:pPr>
    </w:p>
    <w:p>
      <w:pPr>
        <w:jc w:val="both"/>
        <w:ind w:right="60" w:firstLine="509"/>
        <w:spacing w:after="0" w:line="312" w:lineRule="auto"/>
        <w:rPr>
          <w:sz w:val="20"/>
          <w:szCs w:val="20"/>
          <w:color w:val="auto"/>
        </w:rPr>
      </w:pPr>
      <w:r>
        <w:rPr>
          <w:rFonts w:ascii="Arial" w:cs="Arial" w:eastAsia="Arial" w:hAnsi="Arial"/>
          <w:sz w:val="16"/>
          <w:szCs w:val="16"/>
          <w:color w:val="auto"/>
        </w:rPr>
        <w:t>As of December 31, 2019, we were the owner of record of 68 issued U.S. patents and at least 200 issued non-U.S. patents, as well as the licensee of at least 3 issued U.S. patents and at least 33 issued non-U.S. patents. As of December 31, 2019, we were actively pursuing 17 U.S. patent applications, of which one is provisional and 14 are non-provisional and at least 51 non-U.S. patent applications in twelve or more jurisdictions as the owner of record.</w:t>
      </w:r>
    </w:p>
    <w:p>
      <w:pPr>
        <w:spacing w:after="0" w:line="14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licensees, or any future licensors or licensees, will fail to identify patentable aspects of inventions made in the course of development and commercialization activities before it is too late to obtain patent protection on them. Therefore, these and any of our patents and patent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or inventorship. If we or our current licensors or licensees, or any future licensors or licensees, fail to establish, maintain or protect such patents and other intellectual property rights, such rights may be reduced or eliminated. Moreover, in some circumstances, we may not have the right to control the preparation, filing and prosecution of patent applications, or to maintain the patents, covering technology that we license from or license to third parties. Therefore, such patents and patent applications may not be prosecuted and enforced in a manner consistent with the best interests of our business.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harm our business.</w:t>
      </w:r>
    </w:p>
    <w:p>
      <w:pPr>
        <w:spacing w:after="0" w:line="185"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The patent applications that we own or license may fail to result in issued patents in the United States or in other countries. Even if patents do issue on such patent applications, third parties may challenge the validity, enforceability or scope thereof, which may result in such patents being narrowed, invalidated or held unenforceable. For example, U.S. patents can be challenged by any person before the United States Patent and Trademark Office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If the breadth or strength of protection provided by the patents and patent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ind w:right="80"/>
        <w:spacing w:after="0" w:line="312" w:lineRule="auto"/>
        <w:rPr>
          <w:sz w:val="20"/>
          <w:szCs w:val="20"/>
          <w:color w:val="auto"/>
        </w:rPr>
      </w:pPr>
      <w:r>
        <w:rPr>
          <w:rFonts w:ascii="Arial" w:cs="Arial" w:eastAsia="Arial" w:hAnsi="Arial"/>
          <w:sz w:val="16"/>
          <w:szCs w:val="16"/>
          <w:color w:val="auto"/>
        </w:rPr>
        <w:t>applications we hold or pursue with respect to our product candidates is successfully challenged, then our ability to commercialize such product candidates could be negatively affected, and we may face unexpected competition that could harm our business. Further, if we encounter delays in our clinical trials, the period of time during which we or our collaborators could market our product candidates under patent protection would be reduced.</w:t>
      </w:r>
    </w:p>
    <w:p>
      <w:pPr>
        <w:spacing w:after="0" w:line="14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62"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might not have been the first to invent or the first to file the inventions covered by each of our pending patent applications and issued patents;</w:t>
      </w:r>
    </w:p>
    <w:p>
      <w:pPr>
        <w:spacing w:after="0" w:line="128" w:lineRule="exact"/>
        <w:rPr>
          <w:rFonts w:ascii="Arial" w:cs="Arial" w:eastAsia="Arial" w:hAnsi="Arial"/>
          <w:sz w:val="17"/>
          <w:szCs w:val="17"/>
          <w:color w:val="auto"/>
        </w:rPr>
      </w:pPr>
    </w:p>
    <w:p>
      <w:pPr>
        <w:ind w:left="500" w:right="120" w:hanging="492"/>
        <w:spacing w:after="0" w:line="308"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others may be able to make, use, sell, offer to sell or import products that are similar to our products or product candidates but that are not covered by the claims of our patents; others may independently develop similar or alternative technologies or duplicate any of our technologies;</w:t>
      </w:r>
    </w:p>
    <w:p>
      <w:pPr>
        <w:spacing w:after="0" w:line="38" w:lineRule="exact"/>
        <w:rPr>
          <w:rFonts w:ascii="Arial" w:cs="Arial" w:eastAsia="Arial" w:hAnsi="Arial"/>
          <w:sz w:val="17"/>
          <w:szCs w:val="17"/>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proprietary rights of others may have an adverse effect on our business;</w:t>
      </w:r>
    </w:p>
    <w:p>
      <w:pPr>
        <w:spacing w:after="0" w:line="117" w:lineRule="exact"/>
        <w:rPr>
          <w:rFonts w:ascii="Arial" w:cs="Arial" w:eastAsia="Arial" w:hAnsi="Arial"/>
          <w:sz w:val="18"/>
          <w:szCs w:val="18"/>
          <w:color w:val="auto"/>
        </w:rPr>
      </w:pPr>
    </w:p>
    <w:p>
      <w:pPr>
        <w:ind w:left="500" w:right="6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proprietary rights we do obtain may not encompass commercially viable products, may not provide us with any competitive advantages or may be challenged by third parties;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technologies or products that are patentable or suitable to maintain as trade secrets.</w:t>
      </w:r>
    </w:p>
    <w:p>
      <w:pPr>
        <w:spacing w:after="0" w:line="225" w:lineRule="exact"/>
        <w:rPr>
          <w:sz w:val="20"/>
          <w:szCs w:val="20"/>
          <w:color w:val="auto"/>
        </w:rPr>
      </w:pPr>
    </w:p>
    <w:p>
      <w:pPr>
        <w:ind w:right="60" w:firstLine="509"/>
        <w:spacing w:after="0" w:line="302" w:lineRule="auto"/>
        <w:rPr>
          <w:sz w:val="20"/>
          <w:szCs w:val="20"/>
          <w:color w:val="auto"/>
        </w:rPr>
      </w:pPr>
      <w:r>
        <w:rPr>
          <w:rFonts w:ascii="Arial" w:cs="Arial" w:eastAsia="Arial" w:hAnsi="Arial"/>
          <w:sz w:val="16"/>
          <w:szCs w:val="16"/>
          <w:color w:val="auto"/>
        </w:rPr>
        <w:t>If we or our current licensors or licensees, or any future licensors or licensees, fail to prosecute, maintain and enforce patent protection for our product candidates, our ability to develop and commercialize our product candidates could be harmed and we might not be able to prevent competitors from making, using and selling competing products. This failure to properly protect the intellectual property rights relating to our product candidates could harm our business, financial condition and operating results. Moreover, our competitors may independently develop equivalent knowledge, methods and know-how.</w:t>
      </w:r>
    </w:p>
    <w:p>
      <w:pPr>
        <w:spacing w:after="0" w:line="154"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Even where laws provide protection, costly and time-consuming litigation could be necessary to enforce and determine the scope of our proprietary rights, and the outcome of such litigation would be uncertain. If we or one of our collaborators were to initiate legal proceedings against a third party to enforce a patent covering the product candidate, the defendant could assert an affirmative defense or counterclaim that our patent is not infringed, invalid and/or unenforceable. In patent litigation in the United States, defendant defenses and counterclaims alleging noninfringement, invalidity and/or unenforceability are commonplace. Grounds for a validity challenge could be an alleged failure to meet any of several statutory requirements, including novelty, non-obviousness, definiteness and enablement. Patents may be unenforceable if someone connected with prosecution of the patent withheld material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one of our product candidates, we would lose at least part, and perhaps all, of the patent protection on such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17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ability to stop third parties from using our technology or making, using, selling, offering to sell or importing our products is dependent upon the extent to which we have rights under valid and enforceable patents that cover these activities. If any patent we currently or in the future may own or license is deemed not infringed, invalid or unenforceable, it could impact our commercial success. We cannot predict the breadth of claims that may be issued from any patent applications we currently or may in the future own or license from third parties.</w:t>
      </w:r>
    </w:p>
    <w:p>
      <w:pPr>
        <w:spacing w:after="0" w:line="187" w:lineRule="exact"/>
        <w:rPr>
          <w:sz w:val="20"/>
          <w:szCs w:val="20"/>
          <w:color w:val="auto"/>
        </w:rPr>
      </w:pPr>
    </w:p>
    <w:p>
      <w:pPr>
        <w:ind w:right="140" w:firstLine="509"/>
        <w:spacing w:after="0" w:line="276" w:lineRule="auto"/>
        <w:rPr>
          <w:sz w:val="20"/>
          <w:szCs w:val="20"/>
          <w:color w:val="auto"/>
        </w:rPr>
      </w:pPr>
      <w:r>
        <w:rPr>
          <w:rFonts w:ascii="Arial" w:cs="Arial" w:eastAsia="Arial" w:hAnsi="Arial"/>
          <w:sz w:val="17"/>
          <w:szCs w:val="17"/>
          <w:color w:val="auto"/>
        </w:rPr>
        <w:t>To the extent that consultants or key employees apply technological information independently developed by them or by others to our product candidates, disputes may arise as to who has the proprietary rights to such information and product candidates, and certain of such disputes may not be resolved in our favor. Consultants and key employees that work with our confidential and proprietary technologies are required to assign all intellectual property rights in their inventions and discoveries created during the scope of their work to our company. However, these consultants or key employees may terminate their relationship with us, and we cannot preclude them indefinitely from dealing with our competitors.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If we are unable to prevent disclosure of our trade secrets or other confidential information to third parties, our competitive position may be impaired.</w:t>
      </w:r>
    </w:p>
    <w:p>
      <w:pPr>
        <w:spacing w:after="0" w:line="140"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Our ability to stop third parties from obtaining the information or know-how necessary to make, use, sell, offer to sell or import our products or practice our technology is dependent in part upon the extent to which we prevent disclosure of the trade secrets that cover these activities. Trade secret rights can be lost through disclosure to third parties. Although we use reasonable efforts to protect our trade secrets, our employees, consultants, contractors, outside scientific collaborators and other advisors may unintentionally or willfully disclose our trade secrets to third parties, resulting in loss of trade secret protection. Moreover, our competitors may independently develop equivalent knowledge, methods and know-how, which would not constitute a violation of our trade secret rights. Enforcing a claim that a third party is engaged in the unlawful use of our trade secrets is expensive, difficult and time consuming, and the outcome is unpredictable. In addition, recognition of rights in trade secrets and a willingness to enforce trade secrets differs in certain jurisdictions.</w:t>
      </w:r>
    </w:p>
    <w:p>
      <w:pPr>
        <w:spacing w:after="0" w:line="2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to the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jc w:val="both"/>
        <w:ind w:right="440" w:firstLine="509"/>
        <w:spacing w:after="0" w:line="264"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pharmaceutical industry involve both technological and legal complexity and is therefore costly, time consuming and inherently uncertain.</w:t>
      </w:r>
    </w:p>
    <w:p>
      <w:pPr>
        <w:spacing w:after="0" w:line="181"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it will be costly and time consuming, and an unfavorable outcome in that litigation could harm our business.</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Our commercial success depends significantly on our ability to operate without infringing, violating or misappropriating the patents and other proprietary rights of third parties. Our own technologies may infringe, violate or misappropriate the patents or other proprietary rights of third parties, or we may be subject to third-party claims of such infringement. Numerous U.S. and foreign issued patents and pending patent applications owned by third parties, exist in the fields in which we are developing our product candidates. Because some patent applications may be maintained in secrecy until the patents are issued, because publication of patent applications is often delayed, and because publications in the scientific literature often lag behind actual discoveries, we cannot be certain that we were the first to invent the technology or that others have not filed patent applications for technology covered by our pending applications.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Moreover, we may face Inter Partes Review (“IPR”) proceedings before the USPTO or patent infringement claims from non-practicing entities that have no relevant product revenue and against whom our own patent portfolio may thus have no deterrent effect. In the future, we may agree to indemnify our manufacturing partners against certain intellectual property claims brought by third parties.</w:t>
      </w:r>
    </w:p>
    <w:p>
      <w:pPr>
        <w:spacing w:after="0" w:line="173"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Intellectual property litigation involves many risks and uncertainties, and there is no assurance that we will prevail in any lawsuit brought against us. Third parties making claims against us for infringement, violation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 parties and we and our partners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and our collaborators may be restricted or prevented from manufacturing and selling products employing our technology. These adverse results, if they occur, could adversely affect our business, results of operations and prospects, and the value of our shares.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right="5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Litigation may be necessary to:</w:t>
      </w:r>
    </w:p>
    <w:p>
      <w:pPr>
        <w:spacing w:after="0" w:line="117"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protect and enforce our patents and any future patents issuing on our patent applications;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enforce or clarify the terms of the licenses we have granted or been granted or may grant or be granted in the future;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protect and enforce trade secrets, know-how and other proprietary rights that we own or have licensed, or may license in the future;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third parties and defend against alleged patent infringement.</w:t>
      </w:r>
    </w:p>
    <w:p>
      <w:pPr>
        <w:spacing w:after="0" w:line="225"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Competitors may infringe our intellectual property. As a result, we may be required to file infringement claims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178" w:lineRule="exact"/>
        <w:rPr>
          <w:sz w:val="20"/>
          <w:szCs w:val="20"/>
          <w:color w:val="auto"/>
        </w:rPr>
      </w:pPr>
    </w:p>
    <w:p>
      <w:pPr>
        <w:ind w:firstLine="509"/>
        <w:spacing w:after="0" w:line="297" w:lineRule="auto"/>
        <w:rPr>
          <w:sz w:val="20"/>
          <w:szCs w:val="20"/>
          <w:color w:val="auto"/>
        </w:rPr>
      </w:pPr>
      <w:r>
        <w:rPr>
          <w:rFonts w:ascii="Arial" w:cs="Arial" w:eastAsia="Arial" w:hAnsi="Arial"/>
          <w:sz w:val="16"/>
          <w:szCs w:val="16"/>
          <w:color w:val="auto"/>
        </w:rPr>
        <w:t>IPR, interference, derivation or other proceedings brought at the USPTO, may be necessary to determine the priority or patentability of inventions with respect to our patent applications or those of our licensors or potential collaborators. Litigation or USPTO proceedings brought by us may fail or may be invoked against us by third parties.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w:t>
      </w:r>
    </w:p>
    <w:p>
      <w:pPr>
        <w:spacing w:after="0" w:line="15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88" w:lineRule="exact"/>
        <w:rPr>
          <w:sz w:val="20"/>
          <w:szCs w:val="20"/>
          <w:color w:val="auto"/>
        </w:rPr>
      </w:pPr>
    </w:p>
    <w:p>
      <w:pPr>
        <w:jc w:val="both"/>
        <w:ind w:right="180" w:firstLine="509"/>
        <w:spacing w:after="0" w:line="264" w:lineRule="auto"/>
        <w:rPr>
          <w:sz w:val="20"/>
          <w:szCs w:val="20"/>
          <w:color w:val="auto"/>
        </w:rPr>
      </w:pPr>
      <w:r>
        <w:rPr>
          <w:rFonts w:ascii="Arial" w:cs="Arial" w:eastAsia="Arial" w:hAnsi="Arial"/>
          <w:sz w:val="18"/>
          <w:szCs w:val="18"/>
          <w:color w:val="auto"/>
        </w:rPr>
        <w:t>Some of our competitors may be able to sustain the costs of patent-related disputes, including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with our products, and our patents or other intellectual property rights may not be effective or sufficient to prevent them from competing.</w:t>
      </w:r>
    </w:p>
    <w:p>
      <w:pPr>
        <w:spacing w:after="0" w:line="225"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extensions for our drug candidates, the length of our patent exclusivity will be shorter which may harm our business materially.</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Depending upon the timing, duration and specifics of any FDA marketing approval of our drug candidates, one or more of our U.S. patents may be eligible for limited patent term extension under the Drug Price Competition and Patent Term Restoration Act of 1984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applicable to each regulatory review period may be granted an extension,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the original expiration dates of our patents, and our business may be materially harmed.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expand our operations and increase the size of our company, and we may experience difficulties in managing growth.</w:t>
      </w:r>
    </w:p>
    <w:p>
      <w:pPr>
        <w:spacing w:after="0" w:line="12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As we advance our drug candidates through preclinical studies and clinical trials and develop new drug candidates, we may need to increase our product development, scientific and administrative headcount to manage these programs. If we commercialize our products, we may need to expand our staff further, particularly in sales and marketing. See “—Risks Relating to the Commercialization of Our Drug Candidates.” We do not presently have the capability to sell, distribute and market our drug candidates. If we are unable to establish an effective sales force and marketing infrastructure, or enter into acceptable third-party sales and marketing or licensing arrangements, we may not be able to commercialize our drug candidates successfully. In addition, to meet our obligations as a public company, we will need to increase our general and administrative capabilities. Our management, personnel and systems currently in place may not be adequate to support this future growth. Our need to effectively manage our operations, growth and various projects requires that we:</w:t>
      </w:r>
    </w:p>
    <w:p>
      <w:pPr>
        <w:spacing w:after="0" w:line="84"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successfully attract and recruit new employees with the expertise and experience we will require;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 our clinical programs effectively, which we anticipate being conducted at numerous clinical sites;</w:t>
      </w:r>
    </w:p>
    <w:p>
      <w:pPr>
        <w:spacing w:after="0" w:line="117" w:lineRule="exact"/>
        <w:rPr>
          <w:rFonts w:ascii="Arial" w:cs="Arial" w:eastAsia="Arial" w:hAnsi="Arial"/>
          <w:sz w:val="18"/>
          <w:szCs w:val="18"/>
          <w:color w:val="auto"/>
        </w:rPr>
      </w:pPr>
    </w:p>
    <w:p>
      <w:pPr>
        <w:ind w:left="500" w:right="760" w:hanging="49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 a marketing, distribution and sales infrastructure if we seek to market our products directly, or successfully partner with a third party organization that will oversee those efforts;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 to improve our operational, manufacturing, financial and management controls, reporting systems and procedures.</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If we are unable to successfully manage this growth and increased complexity of operations, our business may be adversely affected.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business effectively if we are unable to attract and retain key personnel.</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may not be able to attract or retain qualified management, finance, scientific and clinical personnel in the future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7" w:lineRule="exact"/>
        <w:rPr>
          <w:sz w:val="20"/>
          <w:szCs w:val="20"/>
          <w:color w:val="auto"/>
        </w:rPr>
      </w:pPr>
    </w:p>
    <w:p>
      <w:pPr>
        <w:ind w:right="460" w:firstLine="509"/>
        <w:spacing w:after="0" w:line="264" w:lineRule="auto"/>
        <w:rPr>
          <w:sz w:val="20"/>
          <w:szCs w:val="20"/>
          <w:color w:val="auto"/>
        </w:rPr>
      </w:pPr>
      <w:r>
        <w:rPr>
          <w:rFonts w:ascii="Arial" w:cs="Arial" w:eastAsia="Arial" w:hAnsi="Arial"/>
          <w:sz w:val="18"/>
          <w:szCs w:val="18"/>
          <w:color w:val="auto"/>
        </w:rPr>
        <w:t>Our industry has experienced a high rate of turnover of management personnel in recent years. We are highly dependent on the development, regulatory, commercialization and business development expertise of our executive officers and key employees. If we lose one or more of our executive officers or key personnel, our ability to implement our business strategy successfully could be seriously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ind w:right="140"/>
        <w:spacing w:after="0" w:line="257" w:lineRule="auto"/>
        <w:rPr>
          <w:sz w:val="20"/>
          <w:szCs w:val="20"/>
          <w:color w:val="auto"/>
        </w:rPr>
      </w:pPr>
      <w:r>
        <w:rPr>
          <w:rFonts w:ascii="Arial" w:cs="Arial" w:eastAsia="Arial" w:hAnsi="Arial"/>
          <w:sz w:val="18"/>
          <w:szCs w:val="18"/>
          <w:color w:val="auto"/>
        </w:rPr>
        <w:t>harmed. Any of our executive officers or key employees may terminate their employment at any time. Replacing executive officers and key employees may be difficult, will be costly and may take an extended period of time because of the limited number of individuals in our industry with the mix of skills and experience required to develop, gain regulatory approval of and commercialize products successfully. Competition to hire from this limited pool is intense, and we may be unable to hire, train, retain or motivate these additional key personnel. Our failure to attract and retain key personnel could materially harm our business.</w:t>
      </w:r>
    </w:p>
    <w:p>
      <w:pPr>
        <w:spacing w:after="0" w:line="29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62" w:lineRule="exact"/>
        <w:rPr>
          <w:sz w:val="20"/>
          <w:szCs w:val="20"/>
          <w:color w:val="auto"/>
        </w:rPr>
      </w:pPr>
    </w:p>
    <w:p>
      <w:pPr>
        <w:ind w:firstLine="509"/>
        <w:spacing w:after="0" w:line="276" w:lineRule="auto"/>
        <w:rPr>
          <w:sz w:val="20"/>
          <w:szCs w:val="20"/>
          <w:color w:val="auto"/>
        </w:rPr>
      </w:pPr>
      <w:r>
        <w:rPr>
          <w:rFonts w:ascii="Arial" w:cs="Arial" w:eastAsia="Arial" w:hAnsi="Arial"/>
          <w:sz w:val="17"/>
          <w:szCs w:val="17"/>
          <w:color w:val="auto"/>
        </w:rPr>
        <w:t>As a public company, we operate in an increasingly demanding regulatory environment, which requires us to comply with applicable provisions of the Sarbanes-Oxley Act of 2002 and the related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173"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7"/>
          <w:szCs w:val="17"/>
          <w:color w:val="auto"/>
        </w:rPr>
        <w:t>We may not be able to prepare and disclose, in a timely manner, our financial statements and other required disclosures or comply with the applicable provisions of the Sarbanes-Oxley Act or existing or new reporting requirements. If we cannot provide reliable financial reports or prevent fraud, our business and results of operations could be harmed and investors could lose confidence in our reported financial information.</w:t>
      </w:r>
    </w:p>
    <w:p>
      <w:pPr>
        <w:spacing w:after="0" w:line="27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legal, compliance or regulatory standards and requirements.</w:t>
      </w:r>
    </w:p>
    <w:p>
      <w:pPr>
        <w:spacing w:after="0" w:line="38"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and collaborators may engage in fraudulent conduct or other illegal activity. Misconduct by these parties could include intentional, reckless and/or negligent conduct or unauthorized activities that violate the regulations of the FDA and non-U.S. regulators, including those laws requiring the reporting of true, complete and accurate information to the FDA and non-U.S. regulators, healthcare fraud and abuse laws and regulations in the United States and abroad, or laws that require the reporting of true and accurate financial information and data. In particular, sales, marketing and business arrangements in the healthcare industry are subject to extensive laws and regulations intended to prevent fraud, misconduct, kickbacks, self-dealing, pre-market promotion, and other abusive practices. These laws and regulations may restrict or prohibit a wide range of pricing, discounting, marketing and promotion, sales commission, customer incentive programs and other business arrangements. These activities also include the improper use or disclosure of information obtained in the course of clinical trials, which could result in regulatory sanctions and cause serious harm to our reputation. We have adopted new comprehensive compliance policies, and revised our code of conduct, but it is not always possible to identify and deter employee or non-employee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federal healthcare programs, contractual damages, reputational harm, diminished profits and future earnings, and curtailment of our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program or drug candidate and fail to capitalize on programs or drug candidates that may be more profitable or for which there is a greater likelihood of success.</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Because we have limited financial and human resources, we have here to date focused primarily on the regulatory approval of our Late Stage Drug Candidates. As a result, we may have foregone or delayed the pursuit of opportunities with other drug candidates or for other indications that could later prove to have had greater commercial potential. Our future resource allocation decisions may cause us to fail to capitalize on viable commercial products or profitable market opportunities. Our spending on existing and future drug candidates for specific indications may not yield any commercially viable products. If we do not accurately evaluate the commercial potential or target market for a particular drug candidate, we may relinquish valuable rights to that drug candidate through strategic alliance, licensing or other royalty arrangements in cases in which it would have been more advantageous for us to retain sole development and commercialization rights to such drug candidate, or we may allocate internal resources to a drug candidate in a therapeutic area in which it would have been more advantageous to enter into a partnering arrangement.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1" w:name="page52"/>
    <w:bookmarkEnd w:id="51"/>
    <w:p>
      <w:pPr>
        <w:ind w:right="4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future products we develop.</w:t>
      </w:r>
    </w:p>
    <w:p>
      <w:pPr>
        <w:spacing w:after="0" w:line="6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drug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any drug candidates or products we develop;</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 or delay or cancellation of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or delay in our ability to commercialize any products we develop;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clinical trial liability insurance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for any drug product, we intend to expand our insurance coverage to include the sale of that product, however, we may be unable to obtain this liability insurance on commercially reasonable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involve hazardous materials, which could subject us to significant liabilities.</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Our research and development processes involve the controlled use of hazardous materials, including medical waste. Our operations produce hazardous waste products. We cannot eliminate the risk of accidental contamination or discharge or injury from these materials. Federal, state and local laws and regulations govern the use, manufacture, storage, handling and disposal of these materials. We could be subject to civil damages in the event of exposure of individuals to hazardous materials. In addition, claimants may sue us for injury or contamination that results from our use of these materials and our liability may exceed our total assets. We have general liability and umbrella insurance of up to $6.0 million per occurrence, with an annual aggregate limit of $7.0 million, which excludes pollution liability. This coverage may not be adequate to cover all claims related to our hazardous materials. Furthermore, if we were to be held liable for a claim involving hazardous materials, this liability could exceed our insurance coverage, if any, and our other financial resources. Compliance with environmental and other laws and regulations may be expensive and current or future regulations may impair our research, development or production efforts.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will leave us exposed to significant uninsured liabilities.</w:t>
      </w:r>
    </w:p>
    <w:p>
      <w:pPr>
        <w:spacing w:after="0" w:line="140" w:lineRule="exact"/>
        <w:rPr>
          <w:sz w:val="20"/>
          <w:szCs w:val="20"/>
          <w:color w:val="auto"/>
        </w:rPr>
      </w:pPr>
    </w:p>
    <w:p>
      <w:pPr>
        <w:ind w:firstLine="509"/>
        <w:spacing w:after="0" w:line="264"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general liability, employment practices liability, property, auto, workers’ compensation, umbrella, clinical trial and directors’ and officers’ insurance. We do not know, however, if we will be able to maintain existing insurance with adequate levels of coverage.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Any significant uninsured liability may require us to pay substantial amounts, which would adversely affect our cash position and results of operations.</w:t>
      </w:r>
    </w:p>
    <w:p>
      <w:pPr>
        <w:spacing w:after="0" w:line="34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market for our proposed products is rapidly changing and competitive, and new drugs and new treatments that may be developed by others could impair our ability to maintain and grow our businesses and remain competitive.</w:t>
      </w:r>
    </w:p>
    <w:p>
      <w:pPr>
        <w:spacing w:after="0" w:line="62"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The pharmaceutical and biotechnology industries are subject to rapid and substantial technological change. Developments by others may render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18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As a company with nominal revenues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or less costly than our proposed products and, therefore, present a serious competitive threat to us.</w:t>
      </w:r>
    </w:p>
    <w:p>
      <w:pPr>
        <w:spacing w:after="0" w:line="18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potential widespread acceptance of therapies that are alternatives to ours may limit market acceptance of our drug candidates, even if commercialized. Some of our targeted diseases and conditions can also be treated by other medication. These treatments may be widely accepted in medical communities and have a longer history of use or be offered at a more competitive price. The established use of these competitive drugs may limit the potential for our technologies, formulations and products to receive widespread acceptance if commercialized.</w:t>
      </w:r>
    </w:p>
    <w:p>
      <w:pPr>
        <w:spacing w:after="0" w:line="18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Therefore, changes in the market for our products and the availability of new or alternative treatments could have a material adverse effect on our businesses, financial conditions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a deficiency in our cyber-security.</w:t>
      </w:r>
    </w:p>
    <w:p>
      <w:pPr>
        <w:spacing w:after="0" w:line="129"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Also, confidential patient and other information may be compromised in a cyber-attack or cyber-intrusion.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drug candidates could be delayed.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foreign exchange fluctuations.</w:t>
      </w:r>
    </w:p>
    <w:p>
      <w:pPr>
        <w:spacing w:after="0" w:line="117" w:lineRule="exact"/>
        <w:rPr>
          <w:sz w:val="20"/>
          <w:szCs w:val="20"/>
          <w:color w:val="auto"/>
        </w:rPr>
      </w:pPr>
    </w:p>
    <w:p>
      <w:pPr>
        <w:ind w:firstLine="794"/>
        <w:spacing w:after="0" w:line="308" w:lineRule="auto"/>
        <w:rPr>
          <w:sz w:val="20"/>
          <w:szCs w:val="20"/>
          <w:color w:val="auto"/>
        </w:rPr>
      </w:pPr>
      <w:r>
        <w:rPr>
          <w:rFonts w:ascii="Arial" w:cs="Arial" w:eastAsia="Arial" w:hAnsi="Arial"/>
          <w:sz w:val="17"/>
          <w:szCs w:val="17"/>
          <w:color w:val="auto"/>
        </w:rPr>
        <w:t>Our functional and reporting currency is the United States dollar. A portion of our expenditures are in foreign currencies, most notably in Canadian dollars, and therefore we are subject to foreign currency fluctuations, which may, from time to time, impact our financial position and results.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MacAndrews has substantial influence over our business, and their interests may differ from our interests or those of our other stockholders.</w:t>
      </w:r>
    </w:p>
    <w:p>
      <w:pPr>
        <w:spacing w:after="0" w:line="140" w:lineRule="exact"/>
        <w:rPr>
          <w:sz w:val="20"/>
          <w:szCs w:val="20"/>
          <w:color w:val="auto"/>
        </w:rPr>
      </w:pPr>
    </w:p>
    <w:p>
      <w:pPr>
        <w:ind w:right="700" w:firstLine="509"/>
        <w:spacing w:after="0" w:line="264" w:lineRule="auto"/>
        <w:rPr>
          <w:sz w:val="20"/>
          <w:szCs w:val="20"/>
          <w:color w:val="auto"/>
        </w:rPr>
      </w:pPr>
      <w:r>
        <w:rPr>
          <w:rFonts w:ascii="Arial" w:cs="Arial" w:eastAsia="Arial" w:hAnsi="Arial"/>
          <w:sz w:val="18"/>
          <w:szCs w:val="18"/>
          <w:color w:val="auto"/>
        </w:rPr>
        <w:t>MacAndrews holds, directly or indirectly, a majority of our combined voting power. Due to its ownership and rights under our investor rights agreement, amended and restated certificate of incorporation and amended and restated bylaws, MacAndrews has the power to control us and our subsidiaries, including the power to:</w:t>
      </w:r>
    </w:p>
    <w:p>
      <w:pPr>
        <w:spacing w:after="0" w:line="73" w:lineRule="exact"/>
        <w:rPr>
          <w:sz w:val="20"/>
          <w:szCs w:val="20"/>
          <w:color w:val="auto"/>
        </w:rPr>
      </w:pPr>
    </w:p>
    <w:p>
      <w:pPr>
        <w:ind w:left="500" w:right="340" w:hanging="492"/>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nominate a majority of our directors, elect a majority of our directors and appoint our executive officers, set our management policies and exercise overall control over our company and subsidiaries;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determine the composition of the committees on our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3" w:name="page54"/>
    <w:bookmarkEnd w:id="53"/>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agree to sell or otherwise transfer a controlling stake in our company; and</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determine the outcome of substantially all actions requiring stockholder approval, including transactions with related parties, corporate reorganizations, acquisitions and dispositions of assets and dividends.</w:t>
      </w:r>
    </w:p>
    <w:p>
      <w:pPr>
        <w:spacing w:after="0" w:line="170"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The interests of MacAndrews may differ from our interests or those of our other stockholders and the concentration of control in MacAndrews will limit other stockholders’ ability to influence corporate matters. The concentration of ownership and voting power with MacAndrews may also delay, defer or even prevent an acquisition by a third party or other change of control of our company and may make some transactions more difficult or impossible without the support of MacAndrews, even if such events are in the best interests of our other stockholders. The concentration of voting power with MacAndrews may have an adverse effect on the price of our Class A common stock. Our company may take actions that our other stockholders do not view as beneficial, which may adversely affect our results of operations and financial condition and cause the value of our Class A common stock to decline.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directors who have relationships with MacAndrews may have conflicts of interest with respect to matters involving our company.</w:t>
      </w:r>
    </w:p>
    <w:p>
      <w:pPr>
        <w:spacing w:after="0" w:line="129" w:lineRule="exact"/>
        <w:rPr>
          <w:sz w:val="20"/>
          <w:szCs w:val="20"/>
          <w:color w:val="auto"/>
        </w:rPr>
      </w:pPr>
    </w:p>
    <w:p>
      <w:pPr>
        <w:ind w:right="120" w:firstLine="509"/>
        <w:spacing w:after="0" w:line="289" w:lineRule="auto"/>
        <w:rPr>
          <w:sz w:val="20"/>
          <w:szCs w:val="20"/>
          <w:color w:val="auto"/>
        </w:rPr>
      </w:pPr>
      <w:r>
        <w:rPr>
          <w:rFonts w:ascii="Arial" w:cs="Arial" w:eastAsia="Arial" w:hAnsi="Arial"/>
          <w:sz w:val="16"/>
          <w:szCs w:val="16"/>
          <w:color w:val="auto"/>
        </w:rPr>
        <w:t>One of our directors is affiliated with MacAndrews. This director will have fiduciary duties to us and in addition will have duties to MacAndrews. In addition, our amended and restated certificate of incorporation provides that none of MacAndrews, any of our non-employee directors who are employees, affiliates or consultants of MacAndrews or its affiliates (other than us or our subsidiaries) or any of their respective affiliates will be liable to us or our stockholders for breach of any fiduciary duty by reason of the fact that any such individual directs a corporate opportunity to MacAndrews or its affiliates instead of us, or does not communicate information regarding a corporate opportunity to us that such person or affiliate has directed to MacAndrews or its affiliates. As a result, such circumstances may entail real or apparent conflicts of interest with respect to matters affecting both us and MacAndrews, whose interests, in some circumstances, may be adverse to ours. In addition, as a result of MacAndrews’ indirect ownership interest, conflicts of interest could arise with respect to transactions involving business dealings between us and MacAndrews or their affiliates, including potential business transactions, potential acquisitions of businesses or properties, the issuance of additional securities, the payment of dividends by us and other matters.</w:t>
      </w:r>
    </w:p>
    <w:p>
      <w:pPr>
        <w:spacing w:after="0" w:line="2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on our Class A common stock, and accordingly, stockholders must rely on stock appreciation for any return on their investment.</w:t>
      </w:r>
    </w:p>
    <w:p>
      <w:pPr>
        <w:spacing w:after="0" w:line="6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have never declared or paid any cash dividend on our Class A common stock and do not anticipate paying cash dividends on our Class A common stock in the future. In addition, our Loan Agreement includes restrictive covenants which prevent us from paying dividends to our stockholders. As a result, the only return to stockholders will be appreciation in the price of our Class A common stock, which may never occur. Investors seeking cash dividends should not invest in our Class A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share price may be volatile, which could subject us to securities class action litigation and result in substantial losses for our stockholders.</w:t>
      </w:r>
    </w:p>
    <w:p>
      <w:pPr>
        <w:spacing w:after="0" w:line="140"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market price of shares of our Class A common stock could be subject to wide fluctuations in response to many risk factors listed in this section, and others beyond our control, including:</w:t>
      </w:r>
    </w:p>
    <w:p>
      <w:pPr>
        <w:spacing w:after="0" w:line="62"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and timing of our clinical trials and receipt of data from the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availability of cash or financing to continue our clinical trials and other operations;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programs;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in the development or commercialization of our potential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collaborations or capital commitments;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17" w:lineRule="exact"/>
        <w:rPr>
          <w:rFonts w:ascii="Arial" w:cs="Arial" w:eastAsia="Arial" w:hAnsi="Arial"/>
          <w:sz w:val="18"/>
          <w:szCs w:val="18"/>
          <w:color w:val="auto"/>
        </w:rPr>
      </w:pPr>
    </w:p>
    <w:p>
      <w:pPr>
        <w:ind w:left="500" w:right="16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maintain, defend or enforce proprietary rights relating to our products and technologies;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Class A common stock by us, our insiders or our other stockholders;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issues in manufacturing our potential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acceptance of our potential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for biopharmaceutical stocks in general;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common stock at or above the price at which they purchased their shares.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be sustained.</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shares of Class A common stock began trading on The NASDAQ Global Market on July 30, 2015 and its listing was transferred to The NASDAQ Capital Market on October 30, 2018. Given the limited trading history of our Class A common stock, there is a risk that an active trading market for our shares will not be sustained, which could put downward pressure on the market price of our Class A common stock and thereby affect the ability of our stockholders to sell their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decline and we may not be able to maintain compliance with NASDAQ listing requirements.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Our Class A common stock is listed on The NASDAQ Capital Market, which imposes certain minimum continued listing requirements. If compliance with these requirements is not maintained, NASDAQ may make a determination to delist our Class A common stock.</w:t>
      </w:r>
    </w:p>
    <w:p>
      <w:pPr>
        <w:spacing w:after="0" w:line="2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trading market for our Class A common stock will be influenced by the research and reports that equity research analysts publish about us and our business.</w:t>
      </w:r>
    </w:p>
    <w:p>
      <w:pPr>
        <w:spacing w:after="0" w:line="62" w:lineRule="exact"/>
        <w:rPr>
          <w:sz w:val="20"/>
          <w:szCs w:val="20"/>
          <w:color w:val="auto"/>
        </w:rPr>
      </w:pPr>
    </w:p>
    <w:p>
      <w:pPr>
        <w:ind w:firstLine="509"/>
        <w:spacing w:after="0" w:line="264" w:lineRule="auto"/>
        <w:rPr>
          <w:sz w:val="20"/>
          <w:szCs w:val="20"/>
          <w:color w:val="auto"/>
        </w:rPr>
      </w:pPr>
      <w:r>
        <w:rPr>
          <w:rFonts w:ascii="Arial" w:cs="Arial" w:eastAsia="Arial" w:hAnsi="Arial"/>
          <w:sz w:val="18"/>
          <w:szCs w:val="18"/>
          <w:color w:val="auto"/>
        </w:rPr>
        <w:t>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3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substantial portion of our total outstanding shares may be sold into the market at any time. This could cause the market price of our Class A common stock to drop significantly, even if our business is doing well.</w:t>
      </w:r>
    </w:p>
    <w:p>
      <w:pPr>
        <w:spacing w:after="0" w:line="62" w:lineRule="exact"/>
        <w:rPr>
          <w:sz w:val="20"/>
          <w:szCs w:val="20"/>
          <w:color w:val="auto"/>
        </w:rPr>
      </w:pPr>
    </w:p>
    <w:p>
      <w:pPr>
        <w:ind w:right="460" w:firstLine="509"/>
        <w:spacing w:after="0" w:line="264" w:lineRule="auto"/>
        <w:rPr>
          <w:sz w:val="20"/>
          <w:szCs w:val="20"/>
          <w:color w:val="auto"/>
        </w:rPr>
      </w:pPr>
      <w:r>
        <w:rPr>
          <w:rFonts w:ascii="Arial" w:cs="Arial" w:eastAsia="Arial" w:hAnsi="Arial"/>
          <w:sz w:val="18"/>
          <w:szCs w:val="18"/>
          <w:color w:val="auto"/>
        </w:rPr>
        <w:t>The market price of our Class A common stock could decline as a result of sales of a large number of shares of our Class A common stock or the perception that such sales could occur. These sales, or the possibility that these sales may occur, also might make it more difficult for us to sell equity securities in the future at a time and price that we deem appropriate.</w:t>
      </w:r>
    </w:p>
    <w:p>
      <w:pPr>
        <w:spacing w:after="0" w:line="7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As of December 31, 2019, MacAndrews and its affiliates hold 23,084,267 non-voting common units of vTv LLC (“vTv Units”) and the same number of shares of vTv Therapeutics Inc. Class B common stock as well as an aggregate of 30,356,212 shares of our Class A common stock. As a result, MacAndrews and its affiliates hold shares representing approximately 83.5% of the combined voting power of our outstanding common stock. Pursuant to the terms of the Exchange Agreement among the Company, vTv LLC and the holders of vTv Units party thereto (the “Exchange Agreement”), vTv Units (along with the corresponding number of shares of our Class B common stock) will be exchangeable for (i) shares of our Class A common stock on a one-for-one basis or (ii) cash (based on the market price of the shares of Class A common stock), at our option (as the managing member of vTv Therapeutics LLC). Shares 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right="80"/>
        <w:spacing w:after="0" w:line="277" w:lineRule="auto"/>
        <w:rPr>
          <w:sz w:val="20"/>
          <w:szCs w:val="20"/>
          <w:color w:val="auto"/>
        </w:rPr>
      </w:pPr>
      <w:r>
        <w:rPr>
          <w:rFonts w:ascii="Arial" w:cs="Arial" w:eastAsia="Arial" w:hAnsi="Arial"/>
          <w:sz w:val="18"/>
          <w:szCs w:val="18"/>
          <w:color w:val="auto"/>
        </w:rPr>
        <w:t>our Class A common stock issuable upon an exchange of vTv Units as described above would be considered “restricted securities,” as that term is defined in Rule 144 under the Securities Act, unless the exchange is registered under the Securities Act.</w:t>
      </w:r>
    </w:p>
    <w:p>
      <w:pPr>
        <w:spacing w:after="0" w:line="62" w:lineRule="exact"/>
        <w:rPr>
          <w:sz w:val="20"/>
          <w:szCs w:val="20"/>
          <w:color w:val="auto"/>
        </w:rPr>
      </w:pPr>
    </w:p>
    <w:p>
      <w:pPr>
        <w:ind w:right="40" w:firstLine="838"/>
        <w:spacing w:after="0" w:line="290" w:lineRule="auto"/>
        <w:rPr>
          <w:sz w:val="20"/>
          <w:szCs w:val="20"/>
          <w:color w:val="auto"/>
        </w:rPr>
      </w:pPr>
      <w:r>
        <w:rPr>
          <w:rFonts w:ascii="Arial" w:cs="Arial" w:eastAsia="Arial" w:hAnsi="Arial"/>
          <w:sz w:val="16"/>
          <w:szCs w:val="16"/>
          <w:color w:val="auto"/>
        </w:rPr>
        <w:t>We have entered into the December 2019 Letter Agreement with M&amp;F Group and previously entered into other similar letter agreements with MacAndrews. Under the December 2019 Letter Agreement, we have the right to sell to M&amp;F Group shares of our Class A common stock at set prices, and M&amp;F Group has the right (exercisable up to three times) to require us to sell to it shares of Class A common stock at the same prices. An aggregate of $10.0 million worth of Class A common stock may be sold under the December Letter Agreement (whether at our or M&amp;F Group’s option), with $6.0 million remaining to be sold as of February 20, 2020. In addition, in connection with the December Letter Agreement and previous letter agreements, we also issued M&amp;F Group warrants to purchase shares of our Class A common stock at set prices. The warrants are exercisable for seven years from their issuance. Sales of shares of Class A common stock to M&amp;F Group under the December 2019 Letter Agreement or pursuant to the exercise of the related warrants (or resales by M&amp;F Group of such shares) could negatively affect our stock price, as could the anticipation of such sales or resales.</w:t>
      </w:r>
    </w:p>
    <w:p>
      <w:pPr>
        <w:spacing w:after="0" w:line="58"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On August 13, 2015, we filed a registration statement under the Securities Act registering 3,250,000 shares of our Class A common stock reserved for issuance under our 2015 Plan. As part of our Loan Agreement, we issued warrants to purchase 190,586 shares of our Class A common stock to our lenders.</w:t>
      </w:r>
    </w:p>
    <w:p>
      <w:pPr>
        <w:spacing w:after="0" w:line="1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On February 27, 2018, we filed a shelf registration statement on Form S-3 through which we may offer and sell from time to time shares of our Class A common stock with an aggregate initial offering price of up to $250,000,000. However,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Further, we have entered into an investor rights agreement with an affiliate of MacAndrews providing certain governance and registration</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rights. Pursuant to the investor rights agreement, we filed a shelf registration statement on Form S-3 in June 2019 to register certain shares previously issued to MacAndrews under the Letter Agreements.</w:t>
      </w:r>
    </w:p>
    <w:p>
      <w:pPr>
        <w:spacing w:after="0" w:line="29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Future sales and issuances of our Class A common stock or rights to purchase Class A common stock, including pursuant to our equity incentive plans, the exercise of outstanding warrants or pursuant to the Loan Agreement or the December 2019 Letter Agreement, could result in additional dilution of the percentage ownership of our stockholders and could cause our stock price to fall.</w:t>
      </w:r>
    </w:p>
    <w:p>
      <w:pPr>
        <w:spacing w:after="0" w:line="5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stockholders may experience substantial dilution. We may sell Class A common stock, convertible securities or other equity securities, including under the December 2019 Letter Agreement and warrants issued to M&amp;F Group, and such sales could result in substantial dilution to existing investors.</w:t>
      </w:r>
    </w:p>
    <w:p>
      <w:pPr>
        <w:spacing w:after="0" w:line="7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addition, under the Loan Agreement the Lenders have the right to purchase shares of our Class A common stock from us, at a discounted price, with a value up to $1.0 million in the event that we conduct a public offering in which we receive cash proceeds of at least $10.0 million. If we sell Class A common stock, convertible securities or other equity securities, the percentage ownership of our stockholders will be diluted. In addition, new investors could gain rights superior to our existing stockholders.</w:t>
      </w:r>
    </w:p>
    <w:p>
      <w:pPr>
        <w:spacing w:after="0" w:line="2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currently an “emerging growth company” and a “smaller reporting company” and are taking advantage of reduced disclosure requirements applicable to these statuses which could make our Class A common stock less attractive to investors.</w:t>
      </w:r>
    </w:p>
    <w:p>
      <w:pPr>
        <w:spacing w:after="0" w:line="62"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no longer qualify as an “emerging growth company” on the last day of fiscal 2020. However, we may still qualify as a “smaller reporting company” and/or a “non-accelerated filer” which would allow us to take advantage of many of the same exemptions from disclosure requirements including exemption from compliance with the auditor attestation requirements of Section 404 and reduced disclosure obligations regarding executive compensation in our periodic reports and proxy statements. We will continue to qualify as a smaller reporting company as long as 1) our public float is less than $250 million, or 2) we have less than $100 million in annual revenues and public float of less than $700 million.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6" w:name="page57"/>
    <w:bookmarkEnd w:id="56"/>
    <w:p>
      <w:pPr>
        <w:ind w:right="24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and devote substantial management time as a result of operating as a public company particularly if we lose our “smaller reporting company” and “non-accelerated filer” status.</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are a “smaller reporting company” and “non-accelerated filer” under the current SEC rules. As such we take advantage of exemptions from certain reporting requirements including exemption from compliance with the auditor attestation requirements of Section 404 of the Sarbanes Oxley Act and reduced disclosure obligations regarding executive compensation in our periodic reports and proxy statements. Should we lose these statuses, we may no longer be exempt from these requirements and expect that compliance with the requirements will increase our legal and financial compliance costs and will make some activities more time consuming and costly. In addition,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404(b) of the Sarbanes-Oxley Act. In that regard, we currently do not have an internal audit function.</w:t>
      </w:r>
    </w:p>
    <w:p>
      <w:pPr>
        <w:spacing w:after="0" w:line="179"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However, for as long as we remain a “smaller reporting company” and “non-accelerated filer”, we intend to take advantage of certain exemptions from various reporting requirements that are applicable to other public companies that do not qualify under these categories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intend to take advantage of these reporting exemptions as long as we remain eligible to do so under the related rules.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exempt from certain corporate governance requirements since we are a “controlled company” within the meaning of the NASDAQ rules, and as a result our stockholders will not have the protections afforded by these corporate governance requirements.</w:t>
      </w:r>
    </w:p>
    <w:p>
      <w:pPr>
        <w:spacing w:after="0" w:line="62"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MacAndrews controls more than 50% of our combined voting power. As a result, we are considered a “controlled company” for the purposes of NASDAQ rules and corporate governance standards, and therefore are permitted to elect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NASDAQ rules and corporate governance standards, and the ability of our independent directors to influence our business policies and affairs may be reduced.</w:t>
      </w:r>
    </w:p>
    <w:p>
      <w:pPr>
        <w:spacing w:after="0" w:line="3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Provisions in our charter and bylaws and provisions of Delaware law may delay or prevent our acquisition by a third party, which might diminish the value of our common stock.</w:t>
      </w:r>
    </w:p>
    <w:p>
      <w:pPr>
        <w:spacing w:after="0" w:line="6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contain several provisions that may make it more difficult or expensive for a third party to acquire control of us without the approval of the Board of Directors. These provisions also may delay, prevent or deter a merger, acquisition, tender offer, proxy contest or other transaction that might otherwise result in our stockholders receiving a premium over the market price for their common stock. The provisions include, among others:</w:t>
      </w:r>
    </w:p>
    <w:p>
      <w:pPr>
        <w:spacing w:after="0" w:line="7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Board of Directors to increase the size of the Board of Directors and fill vacancies without a stockholder vote;</w:t>
      </w:r>
    </w:p>
    <w:p>
      <w:pPr>
        <w:spacing w:after="0" w:line="117"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antitakeover law (as further described below); and</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have elected in our amended and restated certificate of incorporation not to be subject to Section 203 of the Delaware General Corporation Law. Nevertheless, the amended and restated certificate of incorporation contains provisions that have the same effect as Section 203 of the Delaware General Corporation Law, except that they provide that MacAndrews and its various successors and affiliates (and transferees of any of them) will not be deemed to be “interested stockholders,” regardless of the percentage of our stock owned by them, and accordingly will not be subject to such restrictions.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7" w:name="page58"/>
    <w:bookmarkEnd w:id="57"/>
    <w:p>
      <w:pPr>
        <w:ind w:right="80" w:firstLine="509"/>
        <w:spacing w:after="0" w:line="259"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the significant common stock ownership of MacAndrews and the ability of the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common stock.</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be required to pay M&amp;F TTP Holdings Two LLC (“M&amp;F”) for certain tax benefits we may claim. In certain circumstances, payments under the Tax Receivable Agreement may be accelerated and/or significantly exceed the actual tax benefits we realize.</w:t>
      </w:r>
    </w:p>
    <w:p>
      <w:pPr>
        <w:spacing w:after="0" w:line="6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The only asset of the Company is its interest in vTv LLC. Class B common stock, together with the corresponding number of vTv Units, may be exchanged for shares of our Class A common stock, or for cash, at our option (as the managing member of vTv LLC). These exchanges of Class B common stock, together with the corresponding number of vTv LLC Units, may result in increases in the tax basis of the assets of vTv LLC that otherwise would not have been available. Such increases in tax basis are likely to increase (for tax purposes) depreciation and amortization deductions and therefore reduce the amount of income tax we would otherwise be required to pay in the future and may also decrease gain (or increase loss) on future dispositions of certain assets to the extent the increased tax basis is allocated to those assets. The IRS may challenge all or part of these tax basis increases and a court could sustain such a challenge.</w:t>
      </w:r>
    </w:p>
    <w:p>
      <w:pPr>
        <w:spacing w:after="0" w:line="189"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have entered into a Tax Receivable Agreement with vTv Therapeutics Holdings (an entity which was dissolved in October 2015, but to which M&amp;F became a successor) that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may make to M&amp;F could be substantial.</w:t>
      </w:r>
    </w:p>
    <w:p>
      <w:pPr>
        <w:spacing w:after="0" w:line="18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M&amp;F generally will not reimburse us for any payments that may previously have been made under the Tax Receivable Agreement even if the IRS subsequently disallows the tax basis increase or any other relevant tax item. Instead, any excess cash payments made by us to M&amp;F will be netted against any future cash payments that we might otherwise be required to make under the terms of the Tax Receivable Agreement. However, we might not determine that we have effectively made an excess cash payment to M&amp;F for a number of years following the initial time of such payment. As a result, in certain circumstances we could make payments to M&amp;F under the Tax Receivable Agreement in excess of our cash tax savings. Our ability to achieve benefits from any tax basis increase and the payments to be made under the Tax Receivable Agreement, will depend upon a number of factors, including the timing and amount of our future income and the nature of our assets.</w:t>
      </w:r>
    </w:p>
    <w:p>
      <w:pPr>
        <w:spacing w:after="0" w:line="178"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To the extent that we are unable to make payments under the Tax Receivable Agreement for any reason, such payments will be deferred and will accrue interest until paid. In addition, the Tax Receivable Agreement provides that, upon a merger, asset sale or other form of business combination or certain other changes of control or if, at any time, we elect an early termination of the Tax Receivable Agreement, our (or our successor’s) obligations under the Tax Receivable Agreement with respect to exchanged or acquired Class B common stock, together with the corresponding number of vTv Units (whether exchanged or acquired before or after such change of control or early termination), would be required to be paid significantly in advance of the actual realization, if any, of any future tax benefits and would be based on certain assumptions, including that we would have sufficient taxable income to fully utilize the deductions arising from the increased tax deductions and tax basis and other benefits related to entering into the Tax Receivable Agreement, and, in the case of certain early termination elections, that any Class B common stock, together with the corresponding number of vTv Units, that have not been exchanged will be deemed exchanged for the market value of the Class A common stock at the time of termination. Consequently, it is possible that the actual cash tax savings realized by us may be significantly less than the corresponding Tax Receivable Agreement payments.</w:t>
      </w:r>
    </w:p>
    <w:p>
      <w:pPr>
        <w:spacing w:after="0" w:line="27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i w:val="1"/>
          <w:iCs w:val="1"/>
          <w:color w:val="auto"/>
        </w:rPr>
        <w:t>The only asset of the Company is its interest in vTv LLC, and accordingly it will depend on distributions from vTv LLC to pay taxes and expenses, including payments under the Tax Receivable Agreement. vTv LLC’s ability to make such distributions may be subject to various limitations and restrictions.</w:t>
      </w:r>
    </w:p>
    <w:p>
      <w:pPr>
        <w:spacing w:after="0" w:line="7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Company is a holding company, has no material assets other than its ownership of vTv Units and has no independent means of generating revenue or cash flow. vTv LLC is treated as a partnership for U.S. federal income tax purposes and, as such, is not subject to any entity-level U.S. federal income tax. Instead, taxable income will be allocated to holders of its common units, including us. As a result, we will incur U.S. federal, state and local income taxes on our allocable share of any net taxable income of vTv LLC. Under the terms of vTv LLC’s Amended and Restated LLC Agreement, vTv LLC will be obligated to make tax distributions to holders of its common units, including us. In addition to tax expenses, we will also incur expenses related to our operations, including expenses under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 w:name="page59"/>
    <w:bookmarkEnd w:id="58"/>
    <w:p>
      <w:pPr>
        <w:spacing w:after="0" w:line="291" w:lineRule="auto"/>
        <w:rPr>
          <w:sz w:val="20"/>
          <w:szCs w:val="20"/>
          <w:color w:val="auto"/>
        </w:rPr>
      </w:pPr>
      <w:r>
        <w:rPr>
          <w:rFonts w:ascii="Arial" w:cs="Arial" w:eastAsia="Arial" w:hAnsi="Arial"/>
          <w:sz w:val="16"/>
          <w:szCs w:val="16"/>
          <w:color w:val="auto"/>
        </w:rPr>
        <w:t>the Tax Receivable Agreement, which could be significant. We intend, as its managing member, to cause vTv LLC to make distributions in an amount sufficient to allow us to pay our taxes and operating expenses, including any payments due under the Tax Receivable Agreement. However, vTv LLC’s ability to make such distributions may be subject to various limitations and restrictions including, but not limited to, restrictions on distributions that would either violate any contract or agreement to which vTv LLC is then a party, including the Loan Agreement or any other potential debt agreements, or any applicable law, or that would have the effect of rendering vTv LLC insolvent. If vTv LLC does not distribute sufficient funds for us to pay our taxes or other liabilities, we may have to borrow funds, which could adversely affect our liquidity and subject us to various restrictions imposed by any such lenders. To the extent that we are unable to make payments under the Tax Receivable Agreement for any reason, such payments will be deferred and will accrue interest until paid.</w:t>
      </w:r>
    </w:p>
    <w:p>
      <w:pPr>
        <w:spacing w:after="0" w:line="27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organizational structure confers certain benefits upon M&amp;F and certain of its successors and assigns that will not benefit Class A common stockholders to the same extent as it will benefit M&amp;F.</w:t>
      </w:r>
    </w:p>
    <w:p>
      <w:pPr>
        <w:spacing w:after="0" w:line="62"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Our organizational structure, including the fact that M&amp;F owns more than 50% of the voting power of our outstanding voting stock and owns part of its economic interest in our business through vTv LLC, confers certain benefits upon M&amp;F that will not benefit the holders of our Class A common stock to the same extent as it will benefit M&amp;F. For example, the Tax Receivable Agreement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we will retain 15% of the amount of such tax benefits, it is possible that the interests of M&amp;F may in some circumstances conflict with our interests and the interests of our other stockholders. For example, M&amp;F may have different tax positions from us, especially in light of the Tax Receivable Agreement, that could influence their decisions regarding whether and when we should dispose of assets, whether and when we should incur new or refinance existing indebtedness, and whether and when we should terminate the Tax Receivable Agreement and accelerate our obligations thereunder. In addition, the determination of future tax reporting positions, the structuring of future transactions and the handling of any future challenges by any taxing authority to our tax reporting positions may take into consideration M&amp;F’s tax or other considerations, which may differ from the considerations of us or our other stockholders. To the extent that M&amp;F is dissolved or liquidated, MacAndrews and/or its affiliates will succeed to the rights and obligations of M&amp;F under the Tax Receivable Agreement, and the same considerations described above apply to any such successor parties.</w:t>
      </w:r>
    </w:p>
    <w:p>
      <w:pPr>
        <w:spacing w:after="0" w:line="27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120" w:firstLine="509"/>
        <w:spacing w:after="0" w:line="264" w:lineRule="auto"/>
        <w:rPr>
          <w:sz w:val="20"/>
          <w:szCs w:val="20"/>
          <w:color w:val="auto"/>
        </w:rPr>
      </w:pPr>
      <w:r>
        <w:rPr>
          <w:rFonts w:ascii="Arial" w:cs="Arial" w:eastAsia="Arial" w:hAnsi="Arial"/>
          <w:sz w:val="18"/>
          <w:szCs w:val="18"/>
          <w:color w:val="auto"/>
        </w:rPr>
        <w:t>Our corporate headquarters is located in High Point, North Carolina, where we lease 12,786 square feet of office space in the Premier Center office park. The initial term of the lease for this space continues through February 2025 and includes a one-time termination option at the end of three years and an option to renew for an additional five years.</w:t>
      </w:r>
    </w:p>
    <w:p>
      <w:pPr>
        <w:spacing w:after="0" w:line="2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020" w:right="220" w:hanging="1012"/>
        <w:spacing w:after="0" w:line="282" w:lineRule="auto"/>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Class A common stock is listed on the NASDAQ Capital Market under the symbol “VTVT”.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509"/>
        <w:spacing w:after="0" w:line="264" w:lineRule="auto"/>
        <w:rPr>
          <w:sz w:val="20"/>
          <w:szCs w:val="20"/>
          <w:color w:val="auto"/>
        </w:rPr>
      </w:pPr>
      <w:r>
        <w:rPr>
          <w:rFonts w:ascii="Arial" w:cs="Arial" w:eastAsia="Arial" w:hAnsi="Arial"/>
          <w:sz w:val="18"/>
          <w:szCs w:val="18"/>
          <w:color w:val="auto"/>
        </w:rPr>
        <w:t>No cash dividends have ever been declared or paid on the common equity to date by the Company. Our ability to pay dividends is restricted by our Loan Agreement. See “Management’s Discussion and Analysis of Financial Conditions and Results of Operations – Liquidity and Capital Resources” in Item 7 of this Annual Report on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60" w:firstLine="509"/>
        <w:spacing w:after="0" w:line="264" w:lineRule="auto"/>
        <w:rPr>
          <w:sz w:val="20"/>
          <w:szCs w:val="20"/>
          <w:color w:val="auto"/>
        </w:rPr>
      </w:pPr>
      <w:r>
        <w:rPr>
          <w:rFonts w:ascii="Arial" w:cs="Arial" w:eastAsia="Arial" w:hAnsi="Arial"/>
          <w:sz w:val="18"/>
          <w:szCs w:val="18"/>
          <w:color w:val="auto"/>
        </w:rPr>
        <w:t>As of February 20, 2020, there were approximately 22 holders of record of our Class A common stock and 7 holders of record of our Class B common stock. Because almost all of the shares of our Class A common stock are held by brokers, nominees and other institutions on behalf of shareholders, we are unable to estimate the total number of shareholders represented by these record 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2019. The only awards that have been granted under the plan below are in the form of option and restricted stock unit awards related to our Class A common stock:</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 be</w:t>
            </w:r>
          </w:p>
        </w:tc>
        <w:tc>
          <w:tcPr>
            <w:tcW w:w="200" w:type="dxa"/>
            <w:vAlign w:val="bottom"/>
          </w:tcPr>
          <w:p>
            <w:pPr>
              <w:spacing w:after="0"/>
              <w:rPr>
                <w:sz w:val="12"/>
                <w:szCs w:val="12"/>
                <w:color w:val="auto"/>
              </w:rPr>
            </w:pPr>
          </w:p>
        </w:tc>
        <w:tc>
          <w:tcPr>
            <w:tcW w:w="19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Weighted-average Exercise</w:t>
            </w: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Rights</w:t>
            </w: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w:t>
            </w: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8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2015 Omnibus Equity Incentive Plan</w:t>
            </w:r>
          </w:p>
        </w:tc>
        <w:tc>
          <w:tcPr>
            <w:tcW w:w="1780" w:type="dxa"/>
            <w:vAlign w:val="bottom"/>
          </w:tcPr>
          <w:p>
            <w:pPr>
              <w:jc w:val="right"/>
              <w:spacing w:after="0"/>
              <w:rPr>
                <w:sz w:val="20"/>
                <w:szCs w:val="20"/>
                <w:color w:val="auto"/>
              </w:rPr>
            </w:pPr>
            <w:r>
              <w:rPr>
                <w:rFonts w:ascii="Arial" w:cs="Arial" w:eastAsia="Arial" w:hAnsi="Arial"/>
                <w:sz w:val="18"/>
                <w:szCs w:val="18"/>
                <w:color w:val="auto"/>
              </w:rPr>
              <w:t>2,542,810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683,857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not approved by</w:t>
            </w:r>
          </w:p>
        </w:tc>
        <w:tc>
          <w:tcPr>
            <w:tcW w:w="1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2,542,810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repurchases of the Company’s common stock during the fourth fiscal quarter of fiscal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0" w:name="page61"/>
    <w:bookmarkEnd w:id="60"/>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following selected financial data should be read together with the information under “Management’s Discussion and Analysis of Financial Condition and Results of Operations” and our financial statements and the notes to those financial statements included elsewhere in this Annual Report on Form 10-K. The selected statements of operations data for the years ended December 31, 2019, 2018 and 2017 and balance sheet data as of December 31, 2019 and 2018 set forth below have been derived from our audited financial statements included elsewhere in this Annual Report on Form 10-K. The selected statements of operations data for the year ended December 31, 2016 and 2015 and the selected balance sheet data as of December 31, 2017, 2016 and 2015 set forth below has been derived from the audited financial statements for such year not included in this Annual Report on Form 10-K. The historical periods presented here are not necessarily indicative of future results.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12"/>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for per share data)</w:t>
            </w: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940" w:type="dxa"/>
            <w:vAlign w:val="bottom"/>
            <w:tcBorders>
              <w:bottom w:val="single" w:sz="8" w:color="CFF0FC"/>
            </w:tcBorders>
            <w:vMerge w:val="continue"/>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12,434</w:t>
            </w:r>
          </w:p>
        </w:tc>
        <w:tc>
          <w:tcPr>
            <w:tcW w:w="120" w:type="dxa"/>
            <w:vAlign w:val="bottom"/>
          </w:tcPr>
          <w:p>
            <w:pPr>
              <w:spacing w:after="0"/>
              <w:rPr>
                <w:sz w:val="19"/>
                <w:szCs w:val="19"/>
                <w:color w:val="auto"/>
              </w:rPr>
            </w:pP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15,119</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23,035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39,640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9,223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11,333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23,656</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32,258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50,973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55,654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Loss from operations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(20,892)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(19,824)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(50,682)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(55,020)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(38,142)</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(3,821)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(3,165)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Income tax provision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(8,894)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(15,934)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(38,503)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(39,001)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(13,609)</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Net loss attributable to vTv Therapeutics Inc.</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(13,044)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(7,911)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(16,144)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(16,352)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(27,498)</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w w:val="91"/>
              </w:rPr>
              <w:t>Net loss attributable to vTv Therapeutics Inc. common shareholders</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(17,913)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(8,650)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(16,144)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(16,352)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(27,498)</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Net loss per share, basic and diluted </w:t>
            </w:r>
            <w:r>
              <w:rPr>
                <w:rFonts w:ascii="Arial" w:cs="Arial" w:eastAsia="Arial" w:hAnsi="Arial"/>
                <w:sz w:val="15"/>
                <w:szCs w:val="15"/>
                <w:color w:val="auto"/>
              </w:rPr>
              <w:t>(1)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2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(0.69)</w:t>
            </w: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(1.67)</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outstanding, basic</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30,292,030</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12,449,236</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9"/>
              </w:rPr>
              <w:t>9,693,254</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9,545,527</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8,276,520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940" w:type="dxa"/>
            <w:vAlign w:val="bottom"/>
          </w:tcPr>
          <w:p>
            <w:pPr>
              <w:spacing w:after="0"/>
              <w:rPr>
                <w:sz w:val="20"/>
                <w:szCs w:val="20"/>
                <w:color w:val="auto"/>
              </w:rPr>
            </w:pPr>
            <w:r>
              <w:rPr>
                <w:rFonts w:ascii="Arial" w:cs="Arial" w:eastAsia="Arial" w:hAnsi="Arial"/>
                <w:sz w:val="14"/>
                <w:szCs w:val="14"/>
                <w:b w:val="1"/>
                <w:bCs w:val="1"/>
                <w:color w:val="auto"/>
              </w:rPr>
              <w:t>Balance sheet data:</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51,505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(10,543)</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(15,364)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(6,567)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Total assets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9,266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54,495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13,381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Other liabilities, net of current portion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40,183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122,515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Total stockholders'/members’ deficit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(49,023)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(82,853)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(151,047)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(90,945)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(77,970)</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00" w:hanging="492"/>
        <w:spacing w:after="0" w:line="264"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Loss per share for the year ended December 31, 2015 includes the 2015 losses recognized both prior and subsequent to the IPO and Reorganization Transactions. See “Management’s Discussion and Analysis of Financial Condition and Results of Operations” for additional information regarding the IPO and Refinancing Transactions.</w:t>
      </w:r>
    </w:p>
    <w:p>
      <w:pPr>
        <w:spacing w:after="0" w:line="2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“Selected Financial Data” and our consolidated financial statements and related notes included elsewhere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in Part I, Item 1A, “Risk Factors” in this Annual Report on Form 10-K. See the sections entitled “Risk Factors” and “Cautionary Note Regarding Forward-Looking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120" w:firstLine="509"/>
        <w:spacing w:after="0" w:line="264" w:lineRule="auto"/>
        <w:rPr>
          <w:sz w:val="20"/>
          <w:szCs w:val="20"/>
          <w:color w:val="auto"/>
        </w:rPr>
      </w:pPr>
      <w:r>
        <w:rPr>
          <w:rFonts w:ascii="Arial" w:cs="Arial" w:eastAsia="Arial" w:hAnsi="Arial"/>
          <w:sz w:val="18"/>
          <w:szCs w:val="18"/>
          <w:color w:val="auto"/>
        </w:rPr>
        <w:t>We are a clinical-stage pharmaceutical company focused on treating metabolic diseases to minimize their long-term complications through end-organ protection. We have an innovative pipeline of first-in-class small molecule clinical and pre-clinical drug candidates for the treatment of a wide range of metabolic diseases and their long term complications.</w:t>
      </w:r>
    </w:p>
    <w:p>
      <w:pPr>
        <w:spacing w:after="0" w:line="73" w:lineRule="exact"/>
        <w:rPr>
          <w:sz w:val="20"/>
          <w:szCs w:val="20"/>
          <w:color w:val="auto"/>
        </w:rPr>
      </w:pPr>
    </w:p>
    <w:p>
      <w:pPr>
        <w:ind w:firstLine="509"/>
        <w:spacing w:after="0" w:line="276" w:lineRule="auto"/>
        <w:rPr>
          <w:sz w:val="20"/>
          <w:szCs w:val="20"/>
          <w:color w:val="auto"/>
        </w:rPr>
      </w:pPr>
      <w:r>
        <w:rPr>
          <w:rFonts w:ascii="Arial" w:cs="Arial" w:eastAsia="Arial" w:hAnsi="Arial"/>
          <w:sz w:val="17"/>
          <w:szCs w:val="17"/>
          <w:color w:val="auto"/>
        </w:rPr>
        <w:t xml:space="preserve">We are developing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 orally administered, liver-selective glucokinase activator (“GKA”) for type 1 diabetes. We have recently completed the Simplici-T1 Study, an adaptive Phase 1b/2 study supported by JDRF International (“JDRF”),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type 1 diabetics. In February 2020, we reported positive results from the Phase 2 - part 2 confirming phase of this study which achieved its primary objective by demonstrating statistically significant improvements in HbA1c (long-term blood sugar) for TTP399 compared to placebo. See “Business – Our Type 1 Diabetes Program –TTP399 – Positive Phase 2 Simplici-T1 Study” within Item 1 of this Annual Report on Form 10-K above for further details.</w:t>
      </w:r>
    </w:p>
    <w:p>
      <w:pPr>
        <w:spacing w:after="0" w:line="64"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 xml:space="preserve">Our drug candidate,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t>
      </w:r>
      <w:r>
        <w:rPr>
          <w:rFonts w:ascii="Arial" w:cs="Arial" w:eastAsia="Arial" w:hAnsi="Arial"/>
          <w:sz w:val="17"/>
          <w:szCs w:val="17"/>
          <w:i w:val="1"/>
          <w:iCs w:val="1"/>
          <w:color w:val="auto"/>
        </w:rPr>
        <w:t>TTP488</w:t>
      </w:r>
      <w:r>
        <w:rPr>
          <w:rFonts w:ascii="Arial" w:cs="Arial" w:eastAsia="Arial" w:hAnsi="Arial"/>
          <w:sz w:val="17"/>
          <w:szCs w:val="17"/>
          <w:color w:val="auto"/>
        </w:rPr>
        <w:t xml:space="preserve">), is an orally administered, small molecule antagonist targeting the receptor for advanced glycation endproducts (“RAGE”). We are currently enrolling patients in a Phase 2 study to evaluate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potential treatment of mild-AD in patients with type 2 diabetes (the “Elevage Study”). We expect to report topline results from the Phase 2 portion of the Elevage Study in the first half of 2021.</w:t>
      </w:r>
    </w:p>
    <w:p>
      <w:pPr>
        <w:spacing w:after="0" w:line="57"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 xml:space="preserve">We are currently planning an adaptive Phase 1b/2 clinical trial assessing the pharmacokinetics, pharmacodynamics, safety and tolerability of </w:t>
      </w:r>
      <w:r>
        <w:rPr>
          <w:rFonts w:ascii="Arial" w:cs="Arial" w:eastAsia="Arial" w:hAnsi="Arial"/>
          <w:sz w:val="17"/>
          <w:szCs w:val="17"/>
          <w:i w:val="1"/>
          <w:iCs w:val="1"/>
          <w:color w:val="auto"/>
        </w:rPr>
        <w:t>TTP273</w:t>
      </w:r>
      <w:r>
        <w:rPr>
          <w:rFonts w:ascii="Arial" w:cs="Arial" w:eastAsia="Arial" w:hAnsi="Arial"/>
          <w:sz w:val="17"/>
          <w:szCs w:val="17"/>
          <w:color w:val="auto"/>
        </w:rPr>
        <w:t>, an orally administered non-peptidic agonist that targets the glucagon-like peptide 1 receptor (“GLP-1r”), in patients with cystic fibrosis related diabetes. Further, we are conducting preclinical studies of our Nrf2/Bach1 modulators (</w:t>
      </w:r>
      <w:r>
        <w:rPr>
          <w:rFonts w:ascii="Arial" w:cs="Arial" w:eastAsia="Arial" w:hAnsi="Arial"/>
          <w:sz w:val="17"/>
          <w:szCs w:val="17"/>
          <w:i w:val="1"/>
          <w:iCs w:val="1"/>
          <w:color w:val="auto"/>
        </w:rPr>
        <w:t>HPP971</w:t>
      </w:r>
      <w:r>
        <w:rPr>
          <w:rFonts w:ascii="Arial" w:cs="Arial" w:eastAsia="Arial" w:hAnsi="Arial"/>
          <w:sz w:val="17"/>
          <w:szCs w:val="17"/>
          <w:color w:val="auto"/>
        </w:rPr>
        <w:t xml:space="preserve"> and </w:t>
      </w:r>
      <w:r>
        <w:rPr>
          <w:rFonts w:ascii="Arial" w:cs="Arial" w:eastAsia="Arial" w:hAnsi="Arial"/>
          <w:sz w:val="17"/>
          <w:szCs w:val="17"/>
          <w:i w:val="1"/>
          <w:iCs w:val="1"/>
          <w:color w:val="auto"/>
        </w:rPr>
        <w:t>HPP3033</w:t>
      </w:r>
      <w:r>
        <w:rPr>
          <w:rFonts w:ascii="Arial" w:cs="Arial" w:eastAsia="Arial" w:hAnsi="Arial"/>
          <w:sz w:val="17"/>
          <w:szCs w:val="17"/>
          <w:color w:val="auto"/>
        </w:rPr>
        <w:t>) as a potential treatment of NASH.</w:t>
      </w:r>
    </w:p>
    <w:p>
      <w:pPr>
        <w:spacing w:after="0" w:line="57" w:lineRule="exact"/>
        <w:rPr>
          <w:sz w:val="20"/>
          <w:szCs w:val="20"/>
          <w:color w:val="auto"/>
        </w:rPr>
      </w:pPr>
    </w:p>
    <w:p>
      <w:pPr>
        <w:ind w:right="140" w:firstLine="468"/>
        <w:spacing w:after="0" w:line="269" w:lineRule="auto"/>
        <w:rPr>
          <w:sz w:val="20"/>
          <w:szCs w:val="20"/>
          <w:color w:val="auto"/>
        </w:rPr>
      </w:pPr>
      <w:r>
        <w:rPr>
          <w:rFonts w:ascii="Arial" w:cs="Arial" w:eastAsia="Arial" w:hAnsi="Arial"/>
          <w:sz w:val="17"/>
          <w:szCs w:val="17"/>
          <w:color w:val="auto"/>
        </w:rPr>
        <w:t xml:space="preserve">We have also entered into partnerships with other pharmaceutical companies to continue the development of our GLP-1r, PDE4, and PPAR-δ programs. In December 2017, we entered into a License Agreement with Hangzhou Zhongmei Huadong Pharmaceutical Co., Ltd. (“Huadong”) (the “Huadong License Agreement”), under which Huadong obtained an exclusive and sublicensable license to develop and commercialize our glucagon-like peptide-1 receptor agonist (“GLP-1r”) program, including the compound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China and certain other Pacific Rim territories, including Australia and South Korea. We also entered into a License Agreement with Reneo Pharmaceuticals, Inc. (“Reneo”) (the “Reneo License Agreement”) in December 2017, under which Reneo obtained an exclusive, worldwide, sublicensable license to develop and commercialize our peroxisome proliferation activated receptor delta agonist program, including the compound HPP593. Finally, in May 2018, we entered into a License Agreement with Newsoara Biopharma Co., Ltd., (“Newsoara”) (the “Newsoara License Agreement”), under which Newsoara obtained an exclusive and sublicensable license to develop and commercialize our phosphodiesterase type 4 inhibitors (“PDE4”) program, including the compound </w:t>
      </w:r>
      <w:r>
        <w:rPr>
          <w:rFonts w:ascii="Arial" w:cs="Arial" w:eastAsia="Arial" w:hAnsi="Arial"/>
          <w:sz w:val="17"/>
          <w:szCs w:val="17"/>
          <w:i w:val="1"/>
          <w:iCs w:val="1"/>
          <w:color w:val="auto"/>
        </w:rPr>
        <w:t>HPP737</w:t>
      </w:r>
      <w:r>
        <w:rPr>
          <w:rFonts w:ascii="Arial" w:cs="Arial" w:eastAsia="Arial" w:hAnsi="Arial"/>
          <w:sz w:val="17"/>
          <w:szCs w:val="17"/>
          <w:color w:val="auto"/>
        </w:rPr>
        <w:t>, in China and other Pacific Rim territories. For more information regarding the Huadong License Agreement, Reneo License Agreement and the Newsoara License Agreement, see Part 1 – Item 1 – “Business – Intellectual Property – License and Research Agreements” of this Annual Report.</w:t>
      </w:r>
    </w:p>
    <w:p>
      <w:pPr>
        <w:spacing w:after="0" w:line="183"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vTv Therapeutics Inc. (the “Company”, the “Registrant”, “we” or “us”) is a holding company, and its principal asset is a controlling equity interest in vTv Therapeutics LLC (“vTv LLC”), the Company’s principal operating subsidiary. 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78"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To date, we have devoted substantially all of our resources to our research and development efforts relating to our investigational drug candidates, including conducting clinical trials with our drug candidates, providing general and administrative support for these operations and protecting our intellectual property. We do not have any products approved for sale and have not generated any revenue from drug sales. From our inception through December 31, 2019, we (including our predecessor companies) have funded our operations primarily through:</w:t>
      </w:r>
    </w:p>
    <w:p>
      <w:pPr>
        <w:spacing w:after="0" w:line="79" w:lineRule="exact"/>
        <w:rPr>
          <w:sz w:val="20"/>
          <w:szCs w:val="20"/>
          <w:color w:val="auto"/>
        </w:rPr>
      </w:pPr>
    </w:p>
    <w:p>
      <w:pPr>
        <w:ind w:left="1000" w:hanging="492"/>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series of private placements of preferred equity from 1999 through 2006 totaling $109.3 million;</w:t>
      </w:r>
    </w:p>
    <w:p>
      <w:pPr>
        <w:spacing w:after="0" w:line="117" w:lineRule="exact"/>
        <w:rPr>
          <w:rFonts w:ascii="Arial" w:cs="Arial" w:eastAsia="Arial" w:hAnsi="Arial"/>
          <w:sz w:val="18"/>
          <w:szCs w:val="18"/>
          <w:color w:val="auto"/>
        </w:rPr>
      </w:pPr>
    </w:p>
    <w:p>
      <w:pPr>
        <w:ind w:left="1000" w:right="200" w:hanging="492"/>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receipt of $23.4 million from completed research collaborations with Novo Nordisk, A/S Merck and Boehringher Ingelheim from 2001 to 2006;</w:t>
      </w:r>
    </w:p>
    <w:p>
      <w:pPr>
        <w:spacing w:after="0" w:line="62" w:lineRule="exact"/>
        <w:rPr>
          <w:rFonts w:ascii="Arial" w:cs="Arial" w:eastAsia="Arial" w:hAnsi="Arial"/>
          <w:sz w:val="18"/>
          <w:szCs w:val="18"/>
          <w:color w:val="auto"/>
        </w:rPr>
      </w:pPr>
    </w:p>
    <w:p>
      <w:pPr>
        <w:ind w:left="1000" w:right="240" w:hanging="492"/>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receipt of $169.2 million of upfront, milestone and research fees during 2006 to 2010 under a license and research agreement with Pfizer, Inc., which was terminated in 2011;</w:t>
      </w:r>
    </w:p>
    <w:p>
      <w:pPr>
        <w:spacing w:after="0" w:line="62" w:lineRule="exact"/>
        <w:rPr>
          <w:rFonts w:ascii="Arial" w:cs="Arial" w:eastAsia="Arial" w:hAnsi="Arial"/>
          <w:sz w:val="18"/>
          <w:szCs w:val="18"/>
          <w:color w:val="auto"/>
        </w:rPr>
      </w:pPr>
    </w:p>
    <w:p>
      <w:pPr>
        <w:ind w:left="1000" w:right="260" w:hanging="492"/>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receipt of $55.7 million of upfront, milestone and research expense reimbursements from 2010 to 2013 under a license agreement for our GKA programs with an affiliate of Forest Laboratories, Inc., which was terminated in 2013;</w:t>
      </w:r>
    </w:p>
    <w:p>
      <w:pPr>
        <w:spacing w:after="0" w:line="62" w:lineRule="exact"/>
        <w:rPr>
          <w:rFonts w:ascii="Arial" w:cs="Arial" w:eastAsia="Arial" w:hAnsi="Arial"/>
          <w:sz w:val="18"/>
          <w:szCs w:val="18"/>
          <w:color w:val="auto"/>
        </w:rPr>
      </w:pPr>
    </w:p>
    <w:p>
      <w:pPr>
        <w:ind w:left="1000" w:right="220" w:hanging="492"/>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various borrowings totaling $114.7 million from November 2011 through March 2014 from entities affiliated with MacAndrews, which were converted to Series F and Series B preferred units of TTP and HPP, our predecessors;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2" w:name="page63"/>
    <w:bookmarkEnd w:id="62"/>
    <w:p>
      <w:pPr>
        <w:ind w:left="1000" w:hanging="492"/>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borrowings of $46.6 million from April 2014 through June 2015 from entities affiliated with MacAndrews;</w:t>
      </w:r>
    </w:p>
    <w:p>
      <w:pPr>
        <w:spacing w:after="0" w:line="117" w:lineRule="exact"/>
        <w:rPr>
          <w:rFonts w:ascii="Arial" w:cs="Arial" w:eastAsia="Arial" w:hAnsi="Arial"/>
          <w:sz w:val="18"/>
          <w:szCs w:val="18"/>
          <w:color w:val="auto"/>
        </w:rPr>
      </w:pPr>
    </w:p>
    <w:p>
      <w:pPr>
        <w:ind w:left="1000" w:hanging="492"/>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completion of the IPO in August 2015, which raised proceeds of $104.4 million from the sale of our Class A common stock, par value $0.01 per share (the “Class A Common Stock”), net of offering costs;</w:t>
      </w:r>
    </w:p>
    <w:p>
      <w:pPr>
        <w:spacing w:after="0" w:line="62" w:lineRule="exact"/>
        <w:rPr>
          <w:rFonts w:ascii="Arial" w:cs="Arial" w:eastAsia="Arial" w:hAnsi="Arial"/>
          <w:sz w:val="18"/>
          <w:szCs w:val="18"/>
          <w:color w:val="auto"/>
        </w:rPr>
      </w:pPr>
    </w:p>
    <w:p>
      <w:pPr>
        <w:ind w:left="1000" w:right="480" w:hanging="492"/>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borrowings totaling $20.0 million from a venture loan and security agreement (the “Loan Agreement”) with Horizon Technology Finance Corporation and Silicon Valley Bank (together, the “Lenders”) in October 2016 and March 2017; and</w:t>
      </w:r>
    </w:p>
    <w:p>
      <w:pPr>
        <w:spacing w:after="0" w:line="62" w:lineRule="exact"/>
        <w:rPr>
          <w:rFonts w:ascii="Arial" w:cs="Arial" w:eastAsia="Arial" w:hAnsi="Arial"/>
          <w:sz w:val="18"/>
          <w:szCs w:val="18"/>
          <w:color w:val="auto"/>
        </w:rPr>
      </w:pPr>
    </w:p>
    <w:p>
      <w:pPr>
        <w:ind w:left="1000" w:hanging="492"/>
        <w:spacing w:after="0" w:line="25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letter agreements (the “Prior Letter Agreements”) with M&amp;F Group in December 2017, July 2018, December 2018, March 2019 and September 2019 under which we received a total of $49.0 million and through which we had the right to sell to M&amp;F Group shares of our Class A common stock at prices ranging from $1.33 to $4.38 per share, and M&amp;F Group had the right (exercisable up to three times) to require us to sell to it shares of Class A common stock at the same price (subject to an aggregate dollar value maximum of Class A common stock that may be sold under each Letter Agreement, whether at our option or M&amp;F Group’s); and</w:t>
      </w:r>
    </w:p>
    <w:p>
      <w:pPr>
        <w:spacing w:after="0" w:line="80" w:lineRule="exact"/>
        <w:rPr>
          <w:rFonts w:ascii="Arial" w:cs="Arial" w:eastAsia="Arial" w:hAnsi="Arial"/>
          <w:sz w:val="18"/>
          <w:szCs w:val="18"/>
          <w:color w:val="auto"/>
        </w:rPr>
      </w:pPr>
    </w:p>
    <w:p>
      <w:pPr>
        <w:jc w:val="both"/>
        <w:ind w:left="1000" w:right="80" w:hanging="492"/>
        <w:spacing w:after="0" w:line="302"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letter agreement entered into with M&amp;F Group on December 23, 2019 (the “December 2019 Letter Agreement”), under which, we have the right to sell to M&amp;F Group shares of our Class A common stock at a price equal to $1.60 per share, respectively, and M&amp;F Group has the right (exercisable up to three times) to require us to sell to it shares of Class A common stock at the same price (subject to an aggregate maximum of $10.0 million worth of Class A common stock that may be sold under each Letter Agreement, whether at our option or M&amp;F Group’s).</w:t>
      </w:r>
    </w:p>
    <w:p>
      <w:pPr>
        <w:spacing w:after="0" w:line="154"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We anticipate that our expenses will increase substantially as we:</w:t>
      </w:r>
    </w:p>
    <w:p>
      <w:pPr>
        <w:spacing w:after="0" w:line="62" w:lineRule="exact"/>
        <w:rPr>
          <w:sz w:val="20"/>
          <w:szCs w:val="20"/>
          <w:color w:val="auto"/>
        </w:rPr>
      </w:pPr>
    </w:p>
    <w:p>
      <w:pPr>
        <w:ind w:left="1000" w:hanging="492"/>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continue the development of our lead drug candidates,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w:t>
      </w:r>
      <w:r>
        <w:rPr>
          <w:rFonts w:ascii="Arial" w:cs="Arial" w:eastAsia="Arial" w:hAnsi="Arial"/>
          <w:sz w:val="18"/>
          <w:szCs w:val="18"/>
          <w:i w:val="1"/>
          <w:iCs w:val="1"/>
          <w:color w:val="auto"/>
        </w:rPr>
        <w:t>azeliragon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seek to obtain regulatory approvals for our lead drug candidates;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prepare for the potential commercialization of our lead drug candidates;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expand our research and development activities and advance our clinical programs; and</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 xml:space="preserve">We do not expect to generate revenue from drug sales unless and until we successfully complete development and obtain marketing approval for one or more of our drug candidates, which we expect will take a number of years and will be subject to significant uncertainty. Accordingly, we will need to raise additional capital to fund continuing drug development prior to the commercialization of any of our drug candidates, including to finance the planned registrational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patients with type 1 diabetes as well as the sequential Phase 2/3 trial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for the treatment of mild-AD in patients with type 2 diabetes. 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We are evaluating several financing strategies to fund our planned and ongoing clinical trials, including direct equity investments and future public offerings of our common stock. Nevertheless, we may be unable to raise additional funds or enter into such other arrangements when needed, on favorable terms or at all, which would have a negative impact on our liquidity and financial condition and could force us to delay, reduce the scope or eliminate one or more of our research and development programs or commercialization efforts. Failure to receive additional funding could cause us to cease operations, in part or in full.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170" w:lineRule="exact"/>
        <w:rPr>
          <w:sz w:val="20"/>
          <w:szCs w:val="20"/>
          <w:color w:val="auto"/>
        </w:rPr>
      </w:pPr>
    </w:p>
    <w:p>
      <w:pPr>
        <w:ind w:right="20" w:firstLine="509"/>
        <w:spacing w:after="0" w:line="297"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salaries, benefits and related overhead expenses for personnel in research and development functions and depreciation of leasehold improvements, laboratory equipment and computers. Since we typically use our employee and infrastructure resources across multiple research and development programs such costs are not allocated to the individual projects.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From our inception through December 31, 2019, we have incurred approximately $580.0 million in research and development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by project for the years ended December 31, 2019, 2018 and 2017 were as follows (in thousands):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46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7,233</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13,507</w:t>
            </w:r>
          </w:p>
        </w:tc>
        <w:tc>
          <w:tcPr>
            <w:tcW w:w="30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28,206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Other projects</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Indirect research and development expense</w:t>
            </w:r>
          </w:p>
        </w:tc>
        <w:tc>
          <w:tcPr>
            <w:tcW w:w="6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4,491</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9,663</w:t>
            </w:r>
          </w:p>
        </w:tc>
        <w:tc>
          <w:tcPr>
            <w:tcW w:w="80" w:type="dxa"/>
            <w:vAlign w:val="bottom"/>
            <w:shd w:val="clear" w:color="auto" w:fill="CFF0FC"/>
          </w:tcPr>
          <w:p>
            <w:pPr>
              <w:spacing w:after="0"/>
              <w:rPr>
                <w:sz w:val="19"/>
                <w:szCs w:val="19"/>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w:t>
            </w:r>
          </w:p>
        </w:tc>
        <w:tc>
          <w:tcPr>
            <w:tcW w:w="640" w:type="dxa"/>
            <w:vAlign w:val="bottom"/>
          </w:tcPr>
          <w:p>
            <w:pPr>
              <w:spacing w:after="0"/>
              <w:rPr>
                <w:sz w:val="19"/>
                <w:szCs w:val="19"/>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15,119</w:t>
            </w:r>
          </w:p>
        </w:tc>
        <w:tc>
          <w:tcPr>
            <w:tcW w:w="3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 xml:space="preserve">We plan to continue to incur significant research and development expenses for the foreseeable future as we continue the development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azeliragon </w:t>
      </w:r>
      <w:r>
        <w:rPr>
          <w:rFonts w:ascii="Arial" w:cs="Arial" w:eastAsia="Arial" w:hAnsi="Arial"/>
          <w:sz w:val="18"/>
          <w:szCs w:val="18"/>
          <w:color w:val="auto"/>
        </w:rPr>
        <w:t>and further advance the development of our other drug candidates, subject to the availability of additional funding.</w:t>
      </w:r>
    </w:p>
    <w:p>
      <w:pPr>
        <w:spacing w:after="0" w:line="17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00" w:right="620" w:hanging="492"/>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1000" w:hanging="492"/>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00" w:right="260" w:hanging="492"/>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00" w:hanging="492"/>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filing, prosecuting, defending and enforcing of patent claims and other intellectual property rights, and the expense of doing so.</w:t>
      </w:r>
    </w:p>
    <w:p>
      <w:pPr>
        <w:spacing w:after="0" w:line="22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940" w:firstLine="509"/>
        <w:spacing w:after="0" w:line="308" w:lineRule="auto"/>
        <w:rPr>
          <w:sz w:val="20"/>
          <w:szCs w:val="20"/>
          <w:color w:val="auto"/>
        </w:rPr>
      </w:pPr>
      <w:r>
        <w:rPr>
          <w:rFonts w:ascii="Arial" w:cs="Arial" w:eastAsia="Arial" w:hAnsi="Arial"/>
          <w:sz w:val="17"/>
          <w:szCs w:val="17"/>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ind w:right="740"/>
        <w:spacing w:after="0" w:line="277" w:lineRule="auto"/>
        <w:rPr>
          <w:sz w:val="20"/>
          <w:szCs w:val="20"/>
          <w:color w:val="auto"/>
        </w:rPr>
      </w:pPr>
      <w:r>
        <w:rPr>
          <w:rFonts w:ascii="Arial" w:cs="Arial" w:eastAsia="Arial" w:hAnsi="Arial"/>
          <w:sz w:val="18"/>
          <w:szCs w:val="18"/>
          <w:color w:val="auto"/>
        </w:rPr>
        <w:t>include accounting and legal services, expenses associated with obtaining and maintaining patents, cost of various consultants, occupancy costs and information systems.</w:t>
      </w:r>
    </w:p>
    <w:p>
      <w:pPr>
        <w:spacing w:after="0" w:line="170" w:lineRule="exact"/>
        <w:rPr>
          <w:sz w:val="20"/>
          <w:szCs w:val="20"/>
          <w:color w:val="auto"/>
        </w:rPr>
      </w:pPr>
    </w:p>
    <w:p>
      <w:pPr>
        <w:jc w:val="both"/>
        <w:ind w:right="120" w:firstLine="509"/>
        <w:spacing w:after="0" w:line="264" w:lineRule="auto"/>
        <w:rPr>
          <w:sz w:val="20"/>
          <w:szCs w:val="20"/>
          <w:color w:val="auto"/>
        </w:rPr>
      </w:pPr>
      <w:r>
        <w:rPr>
          <w:rFonts w:ascii="Arial" w:cs="Arial" w:eastAsia="Arial" w:hAnsi="Arial"/>
          <w:sz w:val="18"/>
          <w:szCs w:val="18"/>
          <w:color w:val="auto"/>
        </w:rPr>
        <w:t>Our general and administrative expenses have increased and will continue to increase as we operate as a public company and commercialize our drug candidates. Such increases have been driven by higher costs for director and officer liability insurance, costs related to the hiring of additional personnel and increased fees for outside consultants, lawyers and accountants.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Interest expense, net primarily consists of our cash and non-cash interest expense related to our Loan Agreement. Cash interest on the Loan Agreement is recognized at a floating interest rate equal to 10.5% plus the amount by which the one-month London Interbank Offer Rate (“LIBOR”) exceeds</w:t>
      </w:r>
    </w:p>
    <w:p>
      <w:pPr>
        <w:ind w:right="60"/>
        <w:spacing w:after="0" w:line="254" w:lineRule="auto"/>
        <w:rPr>
          <w:sz w:val="20"/>
          <w:szCs w:val="20"/>
          <w:color w:val="auto"/>
        </w:rPr>
      </w:pPr>
      <w:r>
        <w:rPr>
          <w:rFonts w:ascii="Arial" w:cs="Arial" w:eastAsia="Arial" w:hAnsi="Arial"/>
          <w:sz w:val="18"/>
          <w:szCs w:val="18"/>
          <w:color w:val="auto"/>
        </w:rPr>
        <w:t>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 (which will be paid in cash upon loan maturity), all of which are recognized in our Consolidated Statement of Operations using the effective interest method.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Other income (expense), net primarily consists of gains and losses related to the adjustment of the fair value of the warrants issued to MacAndrews in connection with the Letter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right="180" w:firstLine="509"/>
        <w:spacing w:after="0" w:line="312" w:lineRule="auto"/>
        <w:rPr>
          <w:sz w:val="20"/>
          <w:szCs w:val="20"/>
          <w:color w:val="auto"/>
        </w:rPr>
      </w:pPr>
      <w:r>
        <w:rPr>
          <w:rFonts w:ascii="Arial" w:cs="Arial" w:eastAsia="Arial" w:hAnsi="Arial"/>
          <w:sz w:val="16"/>
          <w:szCs w:val="16"/>
          <w:color w:val="auto"/>
        </w:rPr>
        <w:t>In this section, we discuss the results of our operations for the year ended December 31, 2019 compared to the year ended December 31, 2018. For a discussion of the year ended December 31, 2018 compared to the year ended December 31, 2017, please refer to Part II, Item 7, “Management's Discussion and Analysis of Financial Condition and Results of Operations” in our Annual Report on Form 10-K for the year ended December 31,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Revenue</w:t>
            </w:r>
          </w:p>
        </w:tc>
        <w:tc>
          <w:tcPr>
            <w:tcW w:w="6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(7,916)</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(686)</w:t>
            </w: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32,258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(1,827)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(3,290)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Revenues were $2.8 million and $12.4 million for the years ended December 31, 2019 and 2018, respectively. The revenue earned during each of these years relates to the recognition of amounts realized from license performance obligations and is primarily related to the amortization of amounts deferred at the initiation of our license agreements which were related to the transfer of technology performance obligations. The technology service periods for our license agreements with Newsoara and Huadong were completed in 2018 and therefore no revenue was recognized for those performance obligations in 2019 other than an additional $1.0 million related to the satisfaction of a milestone within our license agreement with Newsoara. The technology service period for our license agreement with Reneo ended in the second quarter of 2019.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Research and development expenses were $15.1 million and $23.0 million for the years ended December 31, 2019 and 2018, respectively. The decrease in research and development expenses during this period of $7.9 million, or 34.4%, was primarily due to:</w:t>
      </w:r>
    </w:p>
    <w:p>
      <w:pPr>
        <w:spacing w:after="0" w:line="62" w:lineRule="exact"/>
        <w:rPr>
          <w:sz w:val="20"/>
          <w:szCs w:val="20"/>
          <w:color w:val="auto"/>
        </w:rPr>
      </w:pPr>
    </w:p>
    <w:p>
      <w:pPr>
        <w:ind w:left="1000" w:right="140" w:hanging="492"/>
        <w:spacing w:after="0" w:line="286"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A decrease in clinical trial costs of $6.3 million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from 2018. This decrease was mainly driven by a decrease in expense related to our STEADFAST Study and related open-label extension (“OLE”) study which were terminated in 2018 and the related analysis of the results. Such decreases were offset by an increase in expense related to the Elevage Study which began in 2019;</w:t>
      </w:r>
    </w:p>
    <w:p>
      <w:pPr>
        <w:spacing w:after="0" w:line="57" w:lineRule="exact"/>
        <w:rPr>
          <w:rFonts w:ascii="Arial" w:cs="Arial" w:eastAsia="Arial" w:hAnsi="Arial"/>
          <w:sz w:val="17"/>
          <w:szCs w:val="17"/>
          <w:color w:val="auto"/>
        </w:rPr>
      </w:pPr>
    </w:p>
    <w:p>
      <w:pPr>
        <w:ind w:left="1000" w:right="240" w:hanging="492"/>
        <w:spacing w:after="0" w:line="342"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An increase in clinical trial costs of $1.9 million for </w:t>
      </w:r>
      <w:r>
        <w:rPr>
          <w:rFonts w:ascii="Arial" w:cs="Arial" w:eastAsia="Arial" w:hAnsi="Arial"/>
          <w:sz w:val="16"/>
          <w:szCs w:val="16"/>
          <w:i w:val="1"/>
          <w:iCs w:val="1"/>
          <w:color w:val="auto"/>
        </w:rPr>
        <w:t>TTP399</w:t>
      </w:r>
      <w:r>
        <w:rPr>
          <w:rFonts w:ascii="Arial" w:cs="Arial" w:eastAsia="Arial" w:hAnsi="Arial"/>
          <w:sz w:val="16"/>
          <w:szCs w:val="16"/>
          <w:color w:val="auto"/>
        </w:rPr>
        <w:t xml:space="preserve"> from 2018, which was driven by higher spending on the SimpliciT-1 trial. The smaller Part 1 of this study was ongoing in 2018, while the larger Part 2 portion of the study was initiated and largely completed in 2019; and</w:t>
      </w:r>
    </w:p>
    <w:p>
      <w:pPr>
        <w:spacing w:after="0" w:line="15" w:lineRule="exact"/>
        <w:rPr>
          <w:rFonts w:ascii="Arial" w:cs="Arial" w:eastAsia="Arial" w:hAnsi="Arial"/>
          <w:sz w:val="16"/>
          <w:szCs w:val="16"/>
          <w:color w:val="auto"/>
        </w:rPr>
      </w:pPr>
    </w:p>
    <w:p>
      <w:pPr>
        <w:ind w:left="1000" w:right="140" w:hanging="492"/>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decrease in other research and development costs of $3.5 million, which was primarily driven by a decrease in personnel and overhead costs due to the corporate restructuring that was announced at the end of 2018 and took place in early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140" w:firstLine="509"/>
        <w:spacing w:after="0" w:line="264" w:lineRule="auto"/>
        <w:rPr>
          <w:sz w:val="20"/>
          <w:szCs w:val="20"/>
          <w:color w:val="auto"/>
        </w:rPr>
      </w:pPr>
      <w:r>
        <w:rPr>
          <w:rFonts w:ascii="Arial" w:cs="Arial" w:eastAsia="Arial" w:hAnsi="Arial"/>
          <w:sz w:val="18"/>
          <w:szCs w:val="18"/>
          <w:color w:val="auto"/>
        </w:rPr>
        <w:t>General and administrative expenses were $8.5 million and $9.2 million for the years ended December 31, 2019 and 2018, respectively. The decrease in general and administrative expenses during this period of $0.7 million, or 7.4%, was primarily due to decreases in expenses for professional services and the gains recognized on the sale of equipment during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260" w:firstLine="509"/>
        <w:spacing w:after="0" w:line="312" w:lineRule="auto"/>
        <w:rPr>
          <w:sz w:val="20"/>
          <w:szCs w:val="20"/>
          <w:color w:val="auto"/>
        </w:rPr>
      </w:pPr>
      <w:r>
        <w:rPr>
          <w:rFonts w:ascii="Arial" w:cs="Arial" w:eastAsia="Arial" w:hAnsi="Arial"/>
          <w:sz w:val="16"/>
          <w:szCs w:val="16"/>
          <w:color w:val="auto"/>
        </w:rPr>
        <w:t>Interest expense, net was $1.8 million and $3.3 million for the years ended December 31, 2019 and 2018, respectively. Interest expense primarily relates to our Loan Agreement which bears interest at 10.5% plus the amount by which the one-month LIBOR exceeds 0.5%. The decrease in interest expense from 2018 to 2019 was driven by the continued repayment of principal amounts outstanding in accordance with the terms of the Loan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Going Concern</w:t>
      </w:r>
    </w:p>
    <w:p>
      <w:pPr>
        <w:spacing w:after="0" w:line="225" w:lineRule="exact"/>
        <w:rPr>
          <w:sz w:val="20"/>
          <w:szCs w:val="20"/>
          <w:color w:val="auto"/>
        </w:rPr>
      </w:pPr>
    </w:p>
    <w:p>
      <w:pPr>
        <w:ind w:firstLine="838"/>
        <w:spacing w:after="0" w:line="270" w:lineRule="auto"/>
        <w:rPr>
          <w:sz w:val="20"/>
          <w:szCs w:val="20"/>
          <w:color w:val="auto"/>
        </w:rPr>
      </w:pPr>
      <w:r>
        <w:rPr>
          <w:rFonts w:ascii="Arial" w:cs="Arial" w:eastAsia="Arial" w:hAnsi="Arial"/>
          <w:sz w:val="17"/>
          <w:szCs w:val="17"/>
          <w:color w:val="auto"/>
        </w:rPr>
        <w:t>As of December 31, 2019, we had an accumulated deficit of $233.5 million. Since our inception, we have experienced a history of negative cash flows from operating activities. We anticipate that we will continue to incur losses for the foreseeable future as we continue our clinical trials. Further, we expect that we will need additional capital to continue to fund our operations. Our currently available sources of liquidity include our unrestricted balance of cash and cash equivalents of $1.8 million and the $10.0 million of remaining funds available under the Letter Agreements as of December 31, 2019. Based on our current operating plan, we believe that our current cash and cash equivalents will allow us to meet our liquidity requirements into March 2020. These factors raise substantial doubt regarding our ability to continue as a going concern. 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our planned and ongoing clinical trials, including direct equity investments and future public offerings of our common stock. The timing and availability of such financing are not yet known.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40" w:firstLine="468"/>
        <w:spacing w:after="0" w:line="270" w:lineRule="auto"/>
        <w:rPr>
          <w:sz w:val="20"/>
          <w:szCs w:val="20"/>
          <w:color w:val="auto"/>
        </w:rPr>
      </w:pPr>
      <w:r>
        <w:rPr>
          <w:rFonts w:ascii="Arial" w:cs="Arial" w:eastAsia="Arial" w:hAnsi="Arial"/>
          <w:sz w:val="17"/>
          <w:szCs w:val="17"/>
          <w:color w:val="auto"/>
        </w:rPr>
        <w:t>The Company has entered into the December 2019 Letter Agreement and the Prior Letter Agreements (collectively, the “Letter Agreements”) with M&amp;F Group. Under the terms of the Letter Agreements, the Company has or had the right to sell to M&amp;F Group shares of its Class A Common Stock at a specified price per share, and M&amp;F Group has or had the right (exercisable up to three times) to require the Company to sell to it shares of Class A Common Stock at the same price. As of February 20, 2020, an aggregate of $49.0 million worth of Class A Common Stock had been sold under the Prior Letter Agreements. Under the December 2019 Letter Agreement, a total of $10.0 million worth of Class A Common Stock could be sold (whether at the Company’s or M&amp;F Group’s option). As of February 20, 2020, $4.0 million had been sold under the December 2019 Letter Agreement, leaving a further $6.0 million to be sold. In addition, in connection with the entrance into several of these Letter Agreements, the Company also issued to M&amp;F Group a total of 1,823,917 warrants (the “Letter Agreement Warrants”) to purchase additional shares of the Company’s Class A Common Stock. On October 26, 2018, we entered into amendments with M&amp;F Group to the Letter Agreement Warrants associated with the Prior Letter Agreements, which removed certain anti-dilution provisions of those Letter Agreement Warrants.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ind w:left="480"/>
        <w:spacing w:after="0"/>
        <w:rPr>
          <w:sz w:val="20"/>
          <w:szCs w:val="20"/>
          <w:color w:val="auto"/>
        </w:rPr>
      </w:pPr>
      <w:r>
        <w:rPr>
          <w:rFonts w:ascii="Arial" w:cs="Arial" w:eastAsia="Arial" w:hAnsi="Arial"/>
          <w:sz w:val="18"/>
          <w:szCs w:val="18"/>
          <w:color w:val="auto"/>
        </w:rPr>
        <w:t>Certain terms of these Letter Agreements are set forth in the tables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December 5, 2017 Letter Agreement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July 30, 2018 Letter Agreement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11, 2018 Letter</w:t>
            </w:r>
          </w:p>
        </w:tc>
        <w:tc>
          <w:tcPr>
            <w:tcW w:w="0" w:type="dxa"/>
            <w:vAlign w:val="bottom"/>
          </w:tcPr>
          <w:p>
            <w:pPr>
              <w:spacing w:after="0"/>
              <w:rPr>
                <w:sz w:val="1"/>
                <w:szCs w:val="1"/>
                <w:color w:val="auto"/>
              </w:rPr>
            </w:pPr>
          </w:p>
        </w:tc>
      </w:tr>
      <w:tr>
        <w:trPr>
          <w:trHeight w:val="105"/>
        </w:trPr>
        <w:tc>
          <w:tcPr>
            <w:tcW w:w="2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66"/>
        </w:trPr>
        <w:tc>
          <w:tcPr>
            <w:tcW w:w="2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4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20" w:type="dxa"/>
            <w:vAlign w:val="bottom"/>
            <w:gridSpan w:val="2"/>
            <w:shd w:val="clear" w:color="auto" w:fill="CFF0FC"/>
          </w:tcPr>
          <w:p>
            <w:pPr>
              <w:ind w:left="1140"/>
              <w:spacing w:after="0"/>
              <w:rPr>
                <w:sz w:val="20"/>
                <w:szCs w:val="20"/>
                <w:color w:val="auto"/>
              </w:rPr>
            </w:pPr>
            <w:r>
              <w:rPr>
                <w:rFonts w:ascii="Arial" w:cs="Arial" w:eastAsia="Arial" w:hAnsi="Arial"/>
                <w:sz w:val="18"/>
                <w:szCs w:val="18"/>
                <w:color w:val="auto"/>
                <w:w w:val="94"/>
              </w:rPr>
              <w:t>$10.0 million</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140" w:type="dxa"/>
            <w:vAlign w:val="bottom"/>
            <w:gridSpan w:val="3"/>
            <w:shd w:val="clear" w:color="auto" w:fill="CFF0FC"/>
          </w:tcPr>
          <w:p>
            <w:pPr>
              <w:ind w:left="1060"/>
              <w:spacing w:after="0"/>
              <w:rPr>
                <w:sz w:val="20"/>
                <w:szCs w:val="20"/>
                <w:color w:val="auto"/>
              </w:rPr>
            </w:pPr>
            <w:r>
              <w:rPr>
                <w:rFonts w:ascii="Arial" w:cs="Arial" w:eastAsia="Arial" w:hAnsi="Arial"/>
                <w:sz w:val="18"/>
                <w:szCs w:val="18"/>
                <w:color w:val="auto"/>
              </w:rPr>
              <w:t>$10.0 million</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4.38</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0"/>
                <w:szCs w:val="20"/>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5, 2018</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w w:val="91"/>
              </w:rPr>
              <w:t>July 30, 2019</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14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w w:val="94"/>
              </w:rPr>
              <w:t>December 11, 2019</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198,267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518,654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340,534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94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FF0FC"/>
          </w:tcPr>
          <w:p>
            <w:pPr>
              <w:spacing w:after="0"/>
              <w:rPr>
                <w:sz w:val="20"/>
                <w:szCs w:val="20"/>
                <w:color w:val="auto"/>
              </w:rPr>
            </w:pPr>
          </w:p>
        </w:tc>
        <w:tc>
          <w:tcPr>
            <w:tcW w:w="3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warrants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December 5, 2024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ind w:left="1120"/>
              <w:spacing w:after="0"/>
              <w:rPr>
                <w:sz w:val="20"/>
                <w:szCs w:val="20"/>
                <w:color w:val="auto"/>
              </w:rPr>
            </w:pPr>
            <w:r>
              <w:rPr>
                <w:rFonts w:ascii="Arial" w:cs="Arial" w:eastAsia="Arial" w:hAnsi="Arial"/>
                <w:sz w:val="18"/>
                <w:szCs w:val="18"/>
                <w:color w:val="auto"/>
                <w:w w:val="91"/>
              </w:rPr>
              <w:t>July 30, 2025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3"/>
          </w:tcPr>
          <w:p>
            <w:pPr>
              <w:ind w:left="620"/>
              <w:spacing w:after="0"/>
              <w:rPr>
                <w:sz w:val="20"/>
                <w:szCs w:val="20"/>
                <w:color w:val="auto"/>
              </w:rPr>
            </w:pPr>
            <w:r>
              <w:rPr>
                <w:rFonts w:ascii="Arial" w:cs="Arial" w:eastAsia="Arial" w:hAnsi="Arial"/>
                <w:sz w:val="18"/>
                <w:szCs w:val="18"/>
                <w:color w:val="auto"/>
                <w:w w:val="94"/>
              </w:rPr>
              <w:t>December 11, 2025</w:t>
            </w:r>
          </w:p>
        </w:tc>
        <w:tc>
          <w:tcPr>
            <w:tcW w:w="0" w:type="dxa"/>
            <w:vAlign w:val="bottom"/>
          </w:tcPr>
          <w:p>
            <w:pPr>
              <w:spacing w:after="0"/>
              <w:rPr>
                <w:sz w:val="1"/>
                <w:szCs w:val="1"/>
                <w:color w:val="auto"/>
              </w:rPr>
            </w:pPr>
          </w:p>
        </w:tc>
      </w:tr>
      <w:tr>
        <w:trPr>
          <w:trHeight w:val="215"/>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w:t>
            </w: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2,283,105</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7,518,797</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Remaining shares to be issued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as of December 31, 2019</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5"/>
        </w:trPr>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March 18, 2019 Letter Agreement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26, 2019 Letter</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December 23, 2019 Letter</w:t>
            </w:r>
          </w:p>
        </w:tc>
        <w:tc>
          <w:tcPr>
            <w:tcW w:w="0" w:type="dxa"/>
            <w:vAlign w:val="bottom"/>
          </w:tcPr>
          <w:p>
            <w:pPr>
              <w:spacing w:after="0"/>
              <w:rPr>
                <w:sz w:val="1"/>
                <w:szCs w:val="1"/>
                <w:color w:val="auto"/>
              </w:rPr>
            </w:pPr>
          </w:p>
        </w:tc>
      </w:tr>
      <w:tr>
        <w:trPr>
          <w:trHeight w:val="105"/>
        </w:trPr>
        <w:tc>
          <w:tcPr>
            <w:tcW w:w="2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66"/>
        </w:trPr>
        <w:tc>
          <w:tcPr>
            <w:tcW w:w="2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4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million</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w w:val="96"/>
              </w:rPr>
              <w:t>$10.0 million</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140" w:type="dxa"/>
            <w:vAlign w:val="bottom"/>
            <w:gridSpan w:val="3"/>
            <w:shd w:val="clear" w:color="auto" w:fill="CFF0FC"/>
          </w:tcPr>
          <w:p>
            <w:pPr>
              <w:ind w:left="1040"/>
              <w:spacing w:after="0"/>
              <w:rPr>
                <w:sz w:val="20"/>
                <w:szCs w:val="20"/>
                <w:color w:val="auto"/>
              </w:rPr>
            </w:pPr>
            <w:r>
              <w:rPr>
                <w:rFonts w:ascii="Arial" w:cs="Arial" w:eastAsia="Arial" w:hAnsi="Arial"/>
                <w:sz w:val="18"/>
                <w:szCs w:val="18"/>
                <w:color w:val="auto"/>
              </w:rPr>
              <w:t>$10.0 million</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9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1.65</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18, 2020</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2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w w:val="89"/>
              </w:rPr>
              <w:t>September 26, 2020</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14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w w:val="96"/>
              </w:rPr>
              <w:t>December 23, 2020</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400,990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365,472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940" w:type="dxa"/>
            <w:vAlign w:val="bottom"/>
            <w:gridSpan w:val="3"/>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FF0FC"/>
          </w:tcPr>
          <w:p>
            <w:pPr>
              <w:spacing w:after="0"/>
              <w:rPr>
                <w:sz w:val="20"/>
                <w:szCs w:val="20"/>
                <w:color w:val="auto"/>
              </w:rPr>
            </w:pPr>
          </w:p>
        </w:tc>
        <w:tc>
          <w:tcPr>
            <w:tcW w:w="3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warrants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ind w:left="640"/>
              <w:spacing w:after="0"/>
              <w:rPr>
                <w:sz w:val="20"/>
                <w:szCs w:val="20"/>
                <w:color w:val="auto"/>
              </w:rPr>
            </w:pPr>
            <w:r>
              <w:rPr>
                <w:rFonts w:ascii="Arial" w:cs="Arial" w:eastAsia="Arial" w:hAnsi="Arial"/>
                <w:sz w:val="18"/>
                <w:szCs w:val="18"/>
                <w:color w:val="auto"/>
                <w:w w:val="89"/>
              </w:rPr>
              <w:t>September 26, 2026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3"/>
          </w:tcPr>
          <w:p>
            <w:pPr>
              <w:ind w:left="600"/>
              <w:spacing w:after="0"/>
              <w:rPr>
                <w:sz w:val="20"/>
                <w:szCs w:val="20"/>
                <w:color w:val="auto"/>
              </w:rPr>
            </w:pPr>
            <w:r>
              <w:rPr>
                <w:rFonts w:ascii="Arial" w:cs="Arial" w:eastAsia="Arial" w:hAnsi="Arial"/>
                <w:sz w:val="18"/>
                <w:szCs w:val="18"/>
                <w:color w:val="auto"/>
                <w:w w:val="96"/>
              </w:rPr>
              <w:t>December 23, 2026</w:t>
            </w:r>
          </w:p>
        </w:tc>
        <w:tc>
          <w:tcPr>
            <w:tcW w:w="0" w:type="dxa"/>
            <w:vAlign w:val="bottom"/>
          </w:tcPr>
          <w:p>
            <w:pPr>
              <w:spacing w:after="0"/>
              <w:rPr>
                <w:sz w:val="1"/>
                <w:szCs w:val="1"/>
                <w:color w:val="auto"/>
              </w:rPr>
            </w:pPr>
          </w:p>
        </w:tc>
      </w:tr>
      <w:tr>
        <w:trPr>
          <w:trHeight w:val="215"/>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w:t>
            </w: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5,454,546</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6,849,316</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Remaining shares to be issued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as of December 31, 2019</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6,250,000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Transaction</w:t>
      </w:r>
    </w:p>
    <w:p>
      <w:pPr>
        <w:spacing w:after="0" w:line="225" w:lineRule="exact"/>
        <w:rPr>
          <w:sz w:val="20"/>
          <w:szCs w:val="20"/>
          <w:color w:val="auto"/>
        </w:rPr>
      </w:pPr>
    </w:p>
    <w:p>
      <w:pPr>
        <w:ind w:right="20" w:firstLine="838"/>
        <w:spacing w:after="0" w:line="259" w:lineRule="auto"/>
        <w:rPr>
          <w:sz w:val="20"/>
          <w:szCs w:val="20"/>
          <w:color w:val="auto"/>
        </w:rPr>
      </w:pPr>
      <w:r>
        <w:rPr>
          <w:rFonts w:ascii="Arial" w:cs="Arial" w:eastAsia="Arial" w:hAnsi="Arial"/>
          <w:sz w:val="18"/>
          <w:szCs w:val="18"/>
          <w:color w:val="auto"/>
        </w:rPr>
        <w:t>In October 2016, we and vTv LLC entered into the Loan Agreement with Horizon Technology Finance Corporation and Silicon Valley Bank, under which we have borrowed $20.0 million. Each loan tranche bears interest at a floating rate equal to 10.5% plus the amount by which the one-month LIBOR exceeds 0.5%. As of February 20, 2020, $4.1 million aggregate principal balance remains outstanding under the Loan Agreement. Additionally, each tranche includes a final interest payment due at its maturity which are further detailed below.</w:t>
      </w:r>
    </w:p>
    <w:p>
      <w:pPr>
        <w:spacing w:after="0" w:line="187" w:lineRule="exact"/>
        <w:rPr>
          <w:sz w:val="20"/>
          <w:szCs w:val="20"/>
          <w:color w:val="auto"/>
        </w:rPr>
      </w:pPr>
    </w:p>
    <w:p>
      <w:pPr>
        <w:ind w:right="200" w:firstLine="838"/>
        <w:spacing w:after="0" w:line="293" w:lineRule="auto"/>
        <w:rPr>
          <w:sz w:val="20"/>
          <w:szCs w:val="20"/>
          <w:color w:val="auto"/>
        </w:rPr>
      </w:pPr>
      <w:r>
        <w:rPr>
          <w:rFonts w:ascii="Arial" w:cs="Arial" w:eastAsia="Arial" w:hAnsi="Arial"/>
          <w:sz w:val="16"/>
          <w:szCs w:val="16"/>
          <w:color w:val="auto"/>
        </w:rPr>
        <w:t>We borrowed the first tranche of $12.5 million upon the close of the Loan Agreement in October 2016. The first tranche required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We borrowed the second tranche of $7.5 million in March 2017. The second tranche required only monthly interest payments until October 1, 2018, followed by equal monthly payments of principal plus accrued interest through the scheduled maturity date on October 1, 2020. In addition, a final payment for the second tranche loan equal to $0.5 million will be due on October 1, 2020, or such earlier date specified in the Loan Agreement.</w:t>
      </w:r>
    </w:p>
    <w:p>
      <w:pPr>
        <w:spacing w:after="0" w:line="165" w:lineRule="exact"/>
        <w:rPr>
          <w:sz w:val="20"/>
          <w:szCs w:val="20"/>
          <w:color w:val="auto"/>
        </w:rPr>
      </w:pPr>
    </w:p>
    <w:p>
      <w:pPr>
        <w:ind w:firstLine="838"/>
        <w:spacing w:after="0" w:line="342" w:lineRule="auto"/>
        <w:rPr>
          <w:sz w:val="20"/>
          <w:szCs w:val="20"/>
          <w:color w:val="auto"/>
        </w:rPr>
      </w:pPr>
      <w:r>
        <w:rPr>
          <w:rFonts w:ascii="Arial" w:cs="Arial" w:eastAsia="Arial" w:hAnsi="Arial"/>
          <w:sz w:val="16"/>
          <w:szCs w:val="16"/>
          <w:color w:val="auto"/>
        </w:rPr>
        <w:t>If we repay all or a portion of the loan prior to the applicable maturity date, we will pay the Lenders a prepayment penalty fee, based on a percentage of the then outstanding principal balance equal to 4.0% during the first 18 months following the funding of the second tranche and 2.0% thereafter.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7" w:name="page68"/>
    <w:bookmarkEnd w:id="67"/>
    <w:p>
      <w:pPr>
        <w:ind w:firstLine="838"/>
        <w:spacing w:after="0" w:line="273" w:lineRule="auto"/>
        <w:rPr>
          <w:sz w:val="20"/>
          <w:szCs w:val="20"/>
          <w:color w:val="auto"/>
        </w:rPr>
      </w:pPr>
      <w:r>
        <w:rPr>
          <w:rFonts w:ascii="Arial" w:cs="Arial" w:eastAsia="Arial" w:hAnsi="Arial"/>
          <w:sz w:val="17"/>
          <w:szCs w:val="17"/>
          <w:color w:val="auto"/>
        </w:rPr>
        <w:t>In connection with the Loan Agreement, we issued to the Lenders warrants to purchase shares of our Class A common stock (the “Warrants”). On October 28, 2016, we issued Warrants to purchase 152,580 shares of our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we issued Warrants to purchase 38,006 shares of our Class A common stock at a per share exercise price of $5.92 per share, which aggregate exercise price represents 3.0% of the principal amount of the second tranche. The Warrants will expire seven years from their date of issuance.</w:t>
      </w:r>
    </w:p>
    <w:p>
      <w:pPr>
        <w:spacing w:after="0" w:line="178" w:lineRule="exact"/>
        <w:rPr>
          <w:sz w:val="20"/>
          <w:szCs w:val="20"/>
          <w:color w:val="auto"/>
        </w:rPr>
      </w:pPr>
    </w:p>
    <w:p>
      <w:pPr>
        <w:ind w:right="20" w:firstLine="838"/>
        <w:spacing w:after="0" w:line="289" w:lineRule="auto"/>
        <w:rPr>
          <w:sz w:val="20"/>
          <w:szCs w:val="20"/>
          <w:color w:val="auto"/>
        </w:rPr>
      </w:pPr>
      <w:r>
        <w:rPr>
          <w:rFonts w:ascii="Arial" w:cs="Arial" w:eastAsia="Arial" w:hAnsi="Arial"/>
          <w:sz w:val="16"/>
          <w:szCs w:val="16"/>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minimum cash balance covenant was included as part of an amendment to the Loan Agreement in connection with our entry into the Huadong License Agreement in December 2017. The Loan Agreement includes customary events of default, including payment defaults, covenant defaults and material adverse change default. Upon the occurrence of an event of default and following any applicable cure periods, a default interest rate of an additional 5% will be applied to the outstanding loan balances, and the Lenders may declare all outstanding obligations immediately due and payable and take such other actions as set forth in the Loan Agreement. As a result of the termination of the STEADFAST Study, we granted the Lenders a first priority security interest in all of our intellectual property, subject to certain limited exceptions.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(23,018)</w:t>
            </w:r>
          </w:p>
        </w:tc>
        <w:tc>
          <w:tcPr>
            <w:tcW w:w="3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(26,856)</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60" w:firstLine="509"/>
        <w:spacing w:after="0" w:line="308" w:lineRule="auto"/>
        <w:rPr>
          <w:sz w:val="20"/>
          <w:szCs w:val="20"/>
          <w:color w:val="auto"/>
        </w:rPr>
      </w:pPr>
      <w:r>
        <w:rPr>
          <w:rFonts w:ascii="Arial" w:cs="Arial" w:eastAsia="Arial" w:hAnsi="Arial"/>
          <w:sz w:val="17"/>
          <w:szCs w:val="17"/>
          <w:color w:val="auto"/>
        </w:rPr>
        <w:t>For the year ended December 31, 2019, our net cash used in operating activities decreased $3.9 million from the prior year. The decrease in uses of cash was primarily driven by lower spending on our clinical trials during 2019 coupled with the impact of changes in working capital.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For the years ended December 31, 2019 and 2018, net cash provided by investing activities increased $0.3 million driven by the gain on sale of equipment in 2019 resulting from the decisions made in our corporate restructuring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firstLine="509"/>
        <w:spacing w:after="0" w:line="264" w:lineRule="auto"/>
        <w:rPr>
          <w:sz w:val="20"/>
          <w:szCs w:val="20"/>
          <w:color w:val="auto"/>
        </w:rPr>
      </w:pPr>
      <w:r>
        <w:rPr>
          <w:rFonts w:ascii="Arial" w:cs="Arial" w:eastAsia="Arial" w:hAnsi="Arial"/>
          <w:sz w:val="18"/>
          <w:szCs w:val="18"/>
          <w:color w:val="auto"/>
        </w:rPr>
        <w:t>For the year ended December 31, 2019, net cash provided by financing activities was $22.9 million compared to net cash provided by financing activities of $16.6 million for the year ended December 31, 2018, resulting in an increase of $6.3 million. This increase was driven by the need for additional sources of financing in 2019 to support our ongoing operations and debt service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8" w:name="page69"/>
    <w:bookmarkEnd w:id="68"/>
    <w:p>
      <w:pPr>
        <w:ind w:right="40" w:firstLine="509"/>
        <w:spacing w:after="0" w:line="253" w:lineRule="auto"/>
        <w:rPr>
          <w:sz w:val="20"/>
          <w:szCs w:val="20"/>
          <w:color w:val="auto"/>
        </w:rPr>
      </w:pPr>
      <w:r>
        <w:rPr>
          <w:rFonts w:ascii="Arial" w:cs="Arial" w:eastAsia="Arial" w:hAnsi="Arial"/>
          <w:sz w:val="18"/>
          <w:szCs w:val="18"/>
          <w:color w:val="auto"/>
        </w:rPr>
        <w:t xml:space="preserve">Based on our current operating plan, we believe that our current cash and cash equivalents and other committed sources of funds under the Letter Agreements will allow us to meet our liquidity requirements into March 2020. In addition to the available cash and cash equivalents and other sources of liquidity, we are seeking possible additional partnering opportunities for our GKA, GLP-1r and other drug candidates which we believe may provide additional cash for use in our operations and the continuation of the clinical trials for our drug candidates. We are also evaluating several financing strategies to fund the clinical trials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w:t>
      </w:r>
      <w:r>
        <w:rPr>
          <w:rFonts w:ascii="Arial" w:cs="Arial" w:eastAsia="Arial" w:hAnsi="Arial"/>
          <w:sz w:val="18"/>
          <w:szCs w:val="18"/>
          <w:i w:val="1"/>
          <w:iCs w:val="1"/>
          <w:color w:val="auto"/>
        </w:rPr>
        <w:t>azeliragon</w:t>
      </w:r>
      <w:r>
        <w:rPr>
          <w:rFonts w:ascii="Arial" w:cs="Arial" w:eastAsia="Arial" w:hAnsi="Arial"/>
          <w:sz w:val="18"/>
          <w:szCs w:val="18"/>
          <w:color w:val="auto"/>
        </w:rPr>
        <w:t>, including direct equity investments and future public offerings of our common stock. The timing and availability of such financing are not yet known.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right="240" w:hanging="492"/>
        <w:spacing w:after="0" w:line="308"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The progress, costs, results and timing of our planned registrational trial(s) to evaluate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potential treatment of type 1 diabetes and our sequential Phase 2/3 trials to evaluate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potential treatment of mild-AD in patients with type 2 diabetes;</w:t>
      </w:r>
    </w:p>
    <w:p>
      <w:pPr>
        <w:spacing w:after="0" w:line="38" w:lineRule="exact"/>
        <w:rPr>
          <w:rFonts w:ascii="Arial" w:cs="Arial" w:eastAsia="Arial" w:hAnsi="Arial"/>
          <w:sz w:val="17"/>
          <w:szCs w:val="17"/>
          <w:color w:val="auto"/>
        </w:rPr>
      </w:pPr>
    </w:p>
    <w:p>
      <w:pPr>
        <w:ind w:left="1000" w:right="180" w:hanging="492"/>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62" w:lineRule="exact"/>
        <w:rPr>
          <w:rFonts w:ascii="Arial" w:cs="Arial" w:eastAsia="Arial" w:hAnsi="Arial"/>
          <w:sz w:val="18"/>
          <w:szCs w:val="18"/>
          <w:color w:val="auto"/>
        </w:rPr>
      </w:pPr>
    </w:p>
    <w:p>
      <w:pPr>
        <w:ind w:left="1000" w:hanging="492"/>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00" w:right="60" w:hanging="492"/>
        <w:spacing w:after="0" w:line="264"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1000" w:hanging="492"/>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60" w:hanging="492"/>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1000" w:hanging="492"/>
        <w:spacing w:after="0"/>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 of any payments we are required to make to M&amp;F TTP Holdings Two LLC in the future under the Tax Receivable Agreement.</w:t>
      </w:r>
    </w:p>
    <w:p>
      <w:pPr>
        <w:spacing w:after="0" w:line="23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 xml:space="preserve">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Letter Agreements. However, we are evaluating several financing strategies to fund the on-going and future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azeliragon</w:t>
      </w:r>
      <w:r>
        <w:rPr>
          <w:rFonts w:ascii="Arial" w:cs="Arial" w:eastAsia="Arial" w:hAnsi="Arial"/>
          <w:sz w:val="17"/>
          <w:szCs w:val="17"/>
          <w:color w:val="auto"/>
        </w:rPr>
        <w:t>, including direct equity investments and future public offerings of our common stock.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which could adversely affect our business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We have entered into the December 2019 Letter Agreement with M&amp;F Group which, as of December 31, 2019, provide us the right to sell to M&amp;F Group an additional 6,250,000 shares of our Class A Common Stock at a price equal to $1.60 per share. Further,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right="280"/>
        <w:spacing w:after="0" w:line="264" w:lineRule="auto"/>
        <w:rPr>
          <w:sz w:val="20"/>
          <w:szCs w:val="20"/>
          <w:color w:val="auto"/>
        </w:rPr>
      </w:pPr>
      <w:r>
        <w:rPr>
          <w:rFonts w:ascii="Arial" w:cs="Arial" w:eastAsia="Arial" w:hAnsi="Arial"/>
          <w:sz w:val="18"/>
          <w:szCs w:val="18"/>
          <w:color w:val="auto"/>
        </w:rPr>
        <w:t>M&amp;F Group has the right (exercisable up to three times) to require us to sell to it shares of Class A Common Stock at the same price. As of December 31, 2019, we had received funding of $49.0 million under the Letter Agreements and, in exchange, had issued a total of 27,540,546 shares of our Class A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generally accepted accounting principles in the United States (“GAAP”).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right="180" w:firstLine="509"/>
        <w:spacing w:after="0" w:line="286" w:lineRule="auto"/>
        <w:rPr>
          <w:sz w:val="20"/>
          <w:szCs w:val="20"/>
          <w:color w:val="auto"/>
        </w:rPr>
      </w:pPr>
      <w:r>
        <w:rPr>
          <w:rFonts w:ascii="Arial" w:cs="Arial" w:eastAsia="Arial" w:hAnsi="Arial"/>
          <w:sz w:val="17"/>
          <w:szCs w:val="17"/>
          <w:color w:val="auto"/>
        </w:rPr>
        <w:t>While our significant accounting policies are more fully described in Note 2, “Summary of Significant Accounting Policies,” to our audited financial statements, we believe that the following accounting policies related to revenue recognition, research and development, income taxes, and share-based compensation are the most critical for fully understanding and evaluating our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509"/>
        <w:spacing w:after="0" w:line="276" w:lineRule="auto"/>
        <w:rPr>
          <w:sz w:val="20"/>
          <w:szCs w:val="20"/>
          <w:color w:val="auto"/>
        </w:rPr>
      </w:pPr>
      <w:r>
        <w:rPr>
          <w:rFonts w:ascii="Arial" w:cs="Arial" w:eastAsia="Arial" w:hAnsi="Arial"/>
          <w:sz w:val="17"/>
          <w:szCs w:val="17"/>
          <w:color w:val="auto"/>
        </w:rPr>
        <w:t>The Company is a holding company, and its principal asset is a controlling equity interest in vTv LLC, the Company’s principal operating subsidiary. The Company has determined that vTv LLC is a VIE for accounting purposes and that the Company is the primary beneficiary of vTv LLC because (through its managing member interest in vTv LLC and the fact that the senior management of the Company is also the senior management of vTv LLC) it has the power to direct all of the activities of vTv LLC, which include those that most significantly impact vTv LLC’s economic performance. The Company has therefore consolidated vTv LLC’s results under the VIE accounting model in its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80" w:firstLine="509"/>
        <w:spacing w:after="0" w:line="276" w:lineRule="auto"/>
        <w:rPr>
          <w:sz w:val="20"/>
          <w:szCs w:val="20"/>
          <w:color w:val="auto"/>
        </w:rPr>
      </w:pPr>
      <w:r>
        <w:rPr>
          <w:rFonts w:ascii="Arial" w:cs="Arial" w:eastAsia="Arial" w:hAnsi="Arial"/>
          <w:sz w:val="17"/>
          <w:szCs w:val="17"/>
          <w:color w:val="auto"/>
        </w:rPr>
        <w:t>The majority of our revenue results from its license and collaboration agreements associated with the development of investigational drug products. We account for a contract when it has approval and commitment from both parties, the rights of the parties are identified, payment terms are identified, the contract has commercial substance and collectability of consideration is probable. For each contract meeting these criteria, we identify the performance obligations included within the contract. A performance obligation is a promise in a contract to transfer a distinct good or service to the customer. We then recognize revenue under each contract as the related performance obligations are satisfied.</w:t>
      </w:r>
    </w:p>
    <w:p>
      <w:pPr>
        <w:spacing w:after="0" w:line="173"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transaction price under the contract is determined based on the value of the consideration expected to be received in exchange for the transferred assets or services. Development, regulatory and sales milestones included in our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our best estimate of the standalone selling price of each distinct good or service in the contract. The primary method used to estimate standalone selling price is the expected cost plus margin approach. Revenue is recognized over the related period over which we expect the services to be provided using a proportional performance model or a straight-line method of recognition if there is no discernable pattern over which the services will be provided.</w:t>
      </w:r>
    </w:p>
    <w:p>
      <w:pPr>
        <w:spacing w:after="0" w:line="167" w:lineRule="exact"/>
        <w:rPr>
          <w:sz w:val="20"/>
          <w:szCs w:val="20"/>
          <w:color w:val="auto"/>
        </w:rPr>
      </w:pPr>
    </w:p>
    <w:p>
      <w:pPr>
        <w:ind w:right="260" w:firstLine="509"/>
        <w:spacing w:after="0" w:line="264" w:lineRule="auto"/>
        <w:rPr>
          <w:sz w:val="20"/>
          <w:szCs w:val="20"/>
          <w:color w:val="auto"/>
        </w:rPr>
      </w:pPr>
      <w:r>
        <w:rPr>
          <w:rFonts w:ascii="Arial" w:cs="Arial" w:eastAsia="Arial" w:hAnsi="Arial"/>
          <w:sz w:val="18"/>
          <w:szCs w:val="18"/>
          <w:color w:val="auto"/>
        </w:rPr>
        <w:t>See Note 2 “Summary of Significant Accounting Policies”, to the Consolidated Financial Statements in Item 15 of Part IV of this Annual Report on Form 10-K for further information regarding the adoption of ASC Topic 606, “Revenue From Contracts With Customers” and the related changes in the recognition of revenue that were adopted on January 1,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Major components of research and development costs include cash compensation,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our behalf. Costs incurred in research and development are expensed as incurred.</w:t>
      </w:r>
    </w:p>
    <w:p>
      <w:pPr>
        <w:spacing w:after="0" w:line="18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We record accruals based on estimates of the services received, efforts expended and amounts owed pursuant to contracts with numerous contract research organizations. In the normal course of business, we contract with third parties to perform various clinical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0" w:name="page71"/>
    <w:bookmarkEnd w:id="70"/>
    <w:p>
      <w:pPr>
        <w:ind w:right="20"/>
        <w:spacing w:after="0" w:line="276" w:lineRule="auto"/>
        <w:rPr>
          <w:sz w:val="20"/>
          <w:szCs w:val="20"/>
          <w:color w:val="auto"/>
        </w:rPr>
      </w:pPr>
      <w:r>
        <w:rPr>
          <w:rFonts w:ascii="Arial" w:cs="Arial" w:eastAsia="Arial" w:hAnsi="Arial"/>
          <w:sz w:val="17"/>
          <w:szCs w:val="17"/>
          <w:color w:val="auto"/>
        </w:rPr>
        <w:t>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our accrual policy is to match the recording of expenses in our financial statements to the actual services received and efforts expended. As such, expense accruals related to clinical studies are recognized based on our estimate of the degree of completion of the event or events specified in the specific clinical study.</w:t>
      </w:r>
    </w:p>
    <w:p>
      <w:pPr>
        <w:spacing w:after="0" w:line="173"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We record nonrefundable advance payments we make for future research and development activities as prepaid expenses. Prepaid expenses are recognized as expense in the statements of operations as we receive the related goods or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09"/>
        <w:spacing w:after="0" w:line="264" w:lineRule="auto"/>
        <w:rPr>
          <w:sz w:val="20"/>
          <w:szCs w:val="20"/>
          <w:color w:val="auto"/>
        </w:rPr>
      </w:pPr>
      <w:r>
        <w:rPr>
          <w:rFonts w:ascii="Arial" w:cs="Arial" w:eastAsia="Arial" w:hAnsi="Arial"/>
          <w:sz w:val="18"/>
          <w:szCs w:val="18"/>
          <w:color w:val="auto"/>
        </w:rPr>
        <w:t>In connection with the IPO, vTv Therapeutics Inc. was formed. From August 1, 2015, vTv Therapeutics Inc. has been subject to corporate level income taxes. Prior to July 30, 2015, our predecessor entities were taxed as partnerships and all their income and deductions flowed through and were subject to tax at the partner level.</w:t>
      </w:r>
    </w:p>
    <w:p>
      <w:pPr>
        <w:spacing w:after="0" w:line="18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vTv Therapeutics Inc. holds vTv Units and is required to recognize deferred tax assets and liabilities for the difference between the financial reporting and tax basis of its investment in vTv LLC.</w:t>
      </w:r>
    </w:p>
    <w:p>
      <w:pPr>
        <w:spacing w:after="0" w:line="170" w:lineRule="exact"/>
        <w:rPr>
          <w:sz w:val="20"/>
          <w:szCs w:val="20"/>
          <w:color w:val="auto"/>
        </w:rPr>
      </w:pPr>
    </w:p>
    <w:p>
      <w:pPr>
        <w:jc w:val="both"/>
        <w:ind w:right="660" w:firstLine="509"/>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We are subject to income taxes in both the United States and various state jurisdictions. Significant judgments and estimates are required in determining the consolidated income tax expense.</w:t>
      </w:r>
    </w:p>
    <w:p>
      <w:pPr>
        <w:spacing w:after="0" w:line="181"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included in the financial statements. Under this method, we determine deferred tax assets and liabilities on the basis of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188" w:lineRule="exact"/>
        <w:rPr>
          <w:sz w:val="20"/>
          <w:szCs w:val="20"/>
          <w:color w:val="auto"/>
        </w:rPr>
      </w:pPr>
    </w:p>
    <w:p>
      <w:pPr>
        <w:ind w:firstLine="509"/>
        <w:spacing w:after="0" w:line="264" w:lineRule="auto"/>
        <w:rPr>
          <w:sz w:val="20"/>
          <w:szCs w:val="20"/>
          <w:color w:val="auto"/>
        </w:rPr>
      </w:pPr>
      <w:r>
        <w:rPr>
          <w:rFonts w:ascii="Arial" w:cs="Arial" w:eastAsia="Arial" w:hAnsi="Arial"/>
          <w:sz w:val="18"/>
          <w:szCs w:val="18"/>
          <w:color w:val="auto"/>
        </w:rPr>
        <w:t>We recognize deferred tax assets to the extent we believe these assets are more-likely-than-not to be realized. In making such a determination, we consider all available positive and negative evidence, including future reversals of existing taxable temporary differences, projected future taxable income, tax planning strategies and recent results of operations.</w:t>
      </w:r>
    </w:p>
    <w:p>
      <w:pPr>
        <w:spacing w:after="0" w:line="181" w:lineRule="exact"/>
        <w:rPr>
          <w:sz w:val="20"/>
          <w:szCs w:val="20"/>
          <w:color w:val="auto"/>
        </w:rPr>
      </w:pPr>
    </w:p>
    <w:p>
      <w:pPr>
        <w:jc w:val="both"/>
        <w:ind w:right="60" w:firstLine="509"/>
        <w:spacing w:after="0" w:line="312" w:lineRule="auto"/>
        <w:rPr>
          <w:sz w:val="20"/>
          <w:szCs w:val="20"/>
          <w:color w:val="auto"/>
        </w:rPr>
      </w:pPr>
      <w:r>
        <w:rPr>
          <w:rFonts w:ascii="Arial" w:cs="Arial" w:eastAsia="Arial" w:hAnsi="Arial"/>
          <w:sz w:val="16"/>
          <w:szCs w:val="16"/>
          <w:color w:val="auto"/>
        </w:rPr>
        <w:t>We record uncertain tax positions on the basis of a two-step process in which (1) we determine whether it is more-likely-than-not that the tax positions will be sustained on the basis of the technical merits of the position and (2) for those tax positions meeting the more-likely-than-not recognition threshold, we recognize the largest amount of tax benefit that is more than 50% likely to be realized upon ultimate settlement with the related tax authority.</w:t>
      </w:r>
    </w:p>
    <w:p>
      <w:pPr>
        <w:spacing w:after="0" w:line="14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Interest and penalties related to income taxes are included in the benefit (provision) for income taxes in our Consolidated Statement of Operations. We have not incurred any significant interest or penalties related to income taxes in any of the periods presented.</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On December 22, 2017, the US government enacted comprehensive tax reform commonly referred to as the Tax Cuts and Jobs Act (“TCJA”). Under ASC 740, the effects of changes in tax rates and laws are recognized in the period which the new legislation is enacted. Among other things, the TCJA (1) reduced the US statutory corporate income tax rate from 35% to 21% effective January 1, 2018, (2) eliminated the corporate alternative minimum tax, (3) eliminated the Section 199 deduction, and (4) changed rules related to uses and limitations of net operating loss carryforwards beginning after December 31,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Due to the lack of sufficient historical trading information with respect to our own shares, we estimate expected volatility based on the historical volatility of our own stock coupled with a portfolio of selected stocks of companies believed to have market and economic characteristics similar to our own. The risk-free rate is based on the U.S. Treasury yield curve in effect at the time of grant. Due to a lack of historical exercise data, we estimate the expected life of our outstanding stock options using the simplified method specified under Staff Accounting Bulletin Topic 14.D.2. The fair value of restricted stock units (“RSU”) grants are based on the market value of our Class A Common Stock on the date of grant. We also estimate the amount of share-based awards that are expected to be forfeited based on historical employee turnover rates.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Consolidated Financial Statements in Item 15 of Part IV of this Annual Report on Form 10-K.</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Our Loan Agreement bears interest at a floating rate equal to 10.5% plus the amount by which the one-month London Interbank Offer Rate (“LIBOR”) exceeds 0.5%. A one percent increase in the variable rate of interest on the Loan Agreement would increase interest expense by an insignificant amount on an annual basis given the amounts outstanding at December 31, 2019. We do not currently hedge our interest rate exposure.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Our exposure to market risk is limited to our cash, cash equivalents and marketable securities,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are classified as available for sale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information required by this Item is included in our Financial Statements and Supplementary Data listed in Item 15 of Part IV of this Annual Report on Form 10-K.</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December 31, 2019. Based upon that evaluation, our Chief Executive Officer and Chief Financial Officer concluded that, as of December 31, 2019,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with SEC disclosure obligations.</w:t>
      </w:r>
    </w:p>
    <w:p>
      <w:pPr>
        <w:spacing w:after="0" w:line="193"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7" w:lineRule="exact"/>
        <w:rPr>
          <w:sz w:val="20"/>
          <w:szCs w:val="20"/>
          <w:color w:val="auto"/>
        </w:rPr>
      </w:pPr>
    </w:p>
    <w:p>
      <w:pPr>
        <w:ind w:right="20" w:firstLine="509"/>
        <w:spacing w:after="0" w:line="264"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deteriorate. Because of the inherent limitations in a cost-effective control system, misstatements due to error or fraud may occur and may not be detected.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Our internal control over financial reporting includes those written policies and procedures that:</w:t>
      </w:r>
    </w:p>
    <w:p>
      <w:pPr>
        <w:spacing w:after="0" w:line="79" w:lineRule="exact"/>
        <w:rPr>
          <w:sz w:val="20"/>
          <w:szCs w:val="20"/>
          <w:color w:val="auto"/>
        </w:rPr>
      </w:pPr>
    </w:p>
    <w:p>
      <w:pPr>
        <w:ind w:left="1000" w:hanging="492"/>
        <w:spacing w:after="0"/>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assets;</w:t>
      </w:r>
    </w:p>
    <w:p>
      <w:pPr>
        <w:spacing w:after="0" w:line="128" w:lineRule="exact"/>
        <w:rPr>
          <w:rFonts w:ascii="Arial" w:cs="Arial" w:eastAsia="Arial" w:hAnsi="Arial"/>
          <w:sz w:val="17"/>
          <w:szCs w:val="17"/>
          <w:color w:val="auto"/>
        </w:rPr>
      </w:pPr>
    </w:p>
    <w:p>
      <w:pPr>
        <w:ind w:left="1000" w:right="540" w:hanging="492"/>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62" w:lineRule="exact"/>
        <w:rPr>
          <w:rFonts w:ascii="Arial" w:cs="Arial" w:eastAsia="Arial" w:hAnsi="Arial"/>
          <w:sz w:val="18"/>
          <w:szCs w:val="18"/>
          <w:color w:val="auto"/>
        </w:rPr>
      </w:pPr>
    </w:p>
    <w:p>
      <w:pPr>
        <w:ind w:left="1000" w:right="260" w:hanging="492"/>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spacing w:after="0" w:line="62" w:lineRule="exact"/>
        <w:rPr>
          <w:rFonts w:ascii="Arial" w:cs="Arial" w:eastAsia="Arial" w:hAnsi="Arial"/>
          <w:sz w:val="18"/>
          <w:szCs w:val="18"/>
          <w:color w:val="auto"/>
        </w:rPr>
      </w:pPr>
    </w:p>
    <w:p>
      <w:pPr>
        <w:ind w:left="1000" w:right="20" w:hanging="492"/>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62" w:lineRule="exact"/>
        <w:rPr>
          <w:sz w:val="20"/>
          <w:szCs w:val="20"/>
          <w:color w:val="auto"/>
        </w:rPr>
      </w:pPr>
    </w:p>
    <w:p>
      <w:pPr>
        <w:ind w:right="160" w:firstLine="50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100" w:firstLine="509"/>
        <w:spacing w:after="0" w:line="312"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2019. Management based this assessment on criteria described in Internal Control - Integrated Framework (2013) issued by the Committee of Sponsoring Organizations of the Treadway Commission (COSO). Based on this assessment, management determined that as of December 31, 2019, we maintained effective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 xml:space="preserve">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The contents of our website are not made a part of this Annual Report on Form 10-K.</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set forth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tbl>
      <w:tblPr>
        <w:tblLayout w:type="fixed"/>
        <w:tblInd w:w="580" w:type="dxa"/>
        <w:tblCellMar>
          <w:top w:w="0" w:type="dxa"/>
          <w:left w:w="0" w:type="dxa"/>
          <w:bottom w:w="0" w:type="dxa"/>
          <w:right w:w="0" w:type="dxa"/>
        </w:tblCellMar>
      </w:tblPr>
      <w:tr>
        <w:trPr>
          <w:trHeight w:val="17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Age</w:t>
            </w:r>
          </w:p>
        </w:tc>
        <w:tc>
          <w:tcPr>
            <w:tcW w:w="522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223"/>
        </w:trPr>
        <w:tc>
          <w:tcPr>
            <w:tcW w:w="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Jeffrey B. Kindler</w:t>
            </w:r>
          </w:p>
        </w:tc>
        <w:tc>
          <w:tcPr>
            <w:tcW w:w="180" w:type="dxa"/>
            <w:vAlign w:val="bottom"/>
          </w:tcPr>
          <w:p>
            <w:pPr>
              <w:spacing w:after="0"/>
              <w:rPr>
                <w:sz w:val="19"/>
                <w:szCs w:val="19"/>
                <w:color w:val="auto"/>
              </w:rPr>
            </w:pPr>
          </w:p>
        </w:tc>
        <w:tc>
          <w:tcPr>
            <w:tcW w:w="5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Executive Chairman</w:t>
            </w: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Stephen L. Holcombe</w:t>
            </w:r>
          </w:p>
        </w:tc>
        <w:tc>
          <w:tcPr>
            <w:tcW w:w="5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Rudy C. Howard</w:t>
            </w: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6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Set forth below is certain additional information concerning our executive officers, including their respective positions with us and prior business experience (other than Mr. Kindler, for whom such information is provided below under the caption “Directors”). Mr. Kindler resigned from his position as Executive Chairman in November 2019, remaining in his role as Chairman of the Board.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L. Holcombe—President and Chief Executive Officer</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Stephen L. Holcombe has served as our President and Chief Executive Officer since April 2015. Mr. Holcombe was the President and Chief Financial Officer of TransTech Pharma, LLC and High Point Pharmaceuticals, LLC, our predecessors, from 2014 to March 2015, where he previously served as Senior Vice President and Chief Financial Officer from 2002 to 2014. Mr. Holcombe has over 35 years of experience in financial and managerial roles focusing on the execution of private and public financings, developing corporate alliance and partnership strategies and managing relationships with external constituents. Positions that Mr. Holcombe held prior to joining our predecessors include Executive Vice President and Chief Financial Officer of Vanguard Cellular Systems, Inc., one of the largest independent wireless operators in the United States, Executive Vice President and Chief Financial Officer of BuildNet Inc., an e-commerce software solutions provider, and various positions with KPMG Peat Marwick Mitchell. He holds a bachelor’s degree in Accountancy from Wake Forest University.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Rudy C. Howard—Executive Vice President and Chief Financial Officer</w:t>
      </w:r>
    </w:p>
    <w:p>
      <w:pPr>
        <w:spacing w:after="0" w:line="117" w:lineRule="exact"/>
        <w:rPr>
          <w:sz w:val="20"/>
          <w:szCs w:val="20"/>
          <w:color w:val="auto"/>
        </w:rPr>
      </w:pPr>
    </w:p>
    <w:p>
      <w:pPr>
        <w:jc w:val="both"/>
        <w:ind w:right="200" w:firstLine="509"/>
        <w:spacing w:after="0" w:line="288" w:lineRule="auto"/>
        <w:rPr>
          <w:sz w:val="20"/>
          <w:szCs w:val="20"/>
          <w:color w:val="auto"/>
        </w:rPr>
      </w:pPr>
      <w:r>
        <w:rPr>
          <w:rFonts w:ascii="Arial" w:cs="Arial" w:eastAsia="Arial" w:hAnsi="Arial"/>
          <w:sz w:val="16"/>
          <w:szCs w:val="16"/>
          <w:color w:val="auto"/>
        </w:rPr>
        <w:t>Rudy C. Howard has served as our Chief Financial Officer since June 2015. Prior to joining vTv Therapeutics Inc., Mr. Howard served from January 2010 through May of 2015 as Chief Financial Officer of SciQuest, Inc., an international spend management software company. From November 2008 until joining SciQuest, Mr. Howard served as Senior Vice President and Chief Financial Officer of MDS Pharma Services, a pharmaceutical services company.</w:t>
      </w:r>
    </w:p>
    <w:p>
      <w:pPr>
        <w:ind w:right="280"/>
        <w:spacing w:after="0" w:line="269" w:lineRule="auto"/>
        <w:rPr>
          <w:sz w:val="20"/>
          <w:szCs w:val="20"/>
          <w:color w:val="auto"/>
        </w:rPr>
      </w:pPr>
      <w:r>
        <w:rPr>
          <w:rFonts w:ascii="Arial" w:cs="Arial" w:eastAsia="Arial" w:hAnsi="Arial"/>
          <w:sz w:val="17"/>
          <w:szCs w:val="17"/>
          <w:color w:val="auto"/>
        </w:rPr>
        <w:t>From 2003 until joining MDS Pharma Services, Mr. Howard operated his own financial consulting company, Rudy C. Howard, CPA Consulting, in Wilmington, North Carolina, where his services included advising on merger and acquisition transactions, equity and debt issuances and other general management matters. From 2001 through 2003, Mr. Howard served as Chief Financial Officer for Peopleclick, Inc., an international human capital management software company. From 2000 until joining Peopleclick, Mr. Howard served as Chief Financial Officer for Marketing Services Group, Inc., a marketing and internet technology company. From 1995 until 2000, Mr. Howard served as Chief Financial Officer for PPD, Inc., a clinical research organization. Prior to joining PPD, Mr. Howard was a partner with PricewaterhouseCoopers. Mr. Howard holds a B.A. in Accounting from North Carolina State University, and he is a Certified Public Accountant.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current members of our Board of Directors are set forth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gridSpan w:val="3"/>
          </w:tcPr>
          <w:p>
            <w:pPr>
              <w:ind w:left="580"/>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4960" w:type="dxa"/>
            <w:vAlign w:val="bottom"/>
            <w:gridSpan w:val="2"/>
          </w:tcPr>
          <w:p>
            <w:pPr>
              <w:ind w:left="200"/>
              <w:spacing w:after="0"/>
              <w:rPr>
                <w:sz w:val="20"/>
                <w:szCs w:val="20"/>
                <w:color w:val="auto"/>
              </w:rPr>
            </w:pPr>
            <w:r>
              <w:rPr>
                <w:rFonts w:ascii="Arial" w:cs="Arial" w:eastAsia="Arial" w:hAnsi="Arial"/>
                <w:sz w:val="14"/>
                <w:szCs w:val="14"/>
                <w:b w:val="1"/>
                <w:bCs w:val="1"/>
                <w:color w:val="auto"/>
              </w:rPr>
              <w:t>Position(s) with vTv Therapeutics Inc.</w:t>
            </w:r>
          </w:p>
        </w:tc>
        <w:tc>
          <w:tcPr>
            <w:tcW w:w="1820" w:type="dxa"/>
            <w:vAlign w:val="bottom"/>
            <w:gridSpan w:val="2"/>
          </w:tcPr>
          <w:p>
            <w:pPr>
              <w:ind w:left="200"/>
              <w:spacing w:after="0"/>
              <w:rPr>
                <w:sz w:val="20"/>
                <w:szCs w:val="20"/>
                <w:color w:val="auto"/>
              </w:rPr>
            </w:pPr>
            <w:r>
              <w:rPr>
                <w:rFonts w:ascii="Arial" w:cs="Arial" w:eastAsia="Arial" w:hAnsi="Arial"/>
                <w:sz w:val="14"/>
                <w:szCs w:val="14"/>
                <w:b w:val="1"/>
                <w:bCs w:val="1"/>
                <w:color w:val="auto"/>
              </w:rPr>
              <w:t>Director Since</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Jeffrey B. Kindler</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tcBorders>
              <w:top w:val="single" w:sz="8" w:color="CFF0FC"/>
            </w:tcBorders>
            <w:shd w:val="clear" w:color="auto" w:fill="CFF0FC"/>
          </w:tcPr>
          <w:p>
            <w:pPr>
              <w:spacing w:after="0"/>
              <w:rPr>
                <w:sz w:val="19"/>
                <w:szCs w:val="19"/>
                <w:color w:val="auto"/>
              </w:rPr>
            </w:pPr>
          </w:p>
        </w:tc>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Chairman of the Board of Directors</w:t>
            </w:r>
          </w:p>
        </w:tc>
        <w:tc>
          <w:tcPr>
            <w:tcW w:w="2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July 2015</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John A. Fry</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March 2016</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Hersh Koslov</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72</w:t>
            </w:r>
          </w:p>
        </w:tc>
        <w:tc>
          <w:tcPr>
            <w:tcW w:w="49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Director</w:t>
            </w:r>
          </w:p>
        </w:tc>
        <w:tc>
          <w:tcPr>
            <w:tcW w:w="18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September 2019</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Paul G. Savas</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April 2015</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Noel J. Spiegel</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71</w:t>
            </w:r>
          </w:p>
        </w:tc>
        <w:tc>
          <w:tcPr>
            <w:tcW w:w="49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Director</w:t>
            </w:r>
          </w:p>
        </w:tc>
        <w:tc>
          <w:tcPr>
            <w:tcW w:w="18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July 2015</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Howard L. Weiner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July 2017</w:t>
            </w:r>
          </w:p>
        </w:tc>
        <w:tc>
          <w:tcPr>
            <w:tcW w:w="580" w:type="dxa"/>
            <w:vAlign w:val="bottom"/>
          </w:tcPr>
          <w:p>
            <w:pPr>
              <w:spacing w:after="0"/>
              <w:rPr>
                <w:sz w:val="20"/>
                <w:szCs w:val="20"/>
                <w:color w:val="auto"/>
              </w:rPr>
            </w:pPr>
          </w:p>
        </w:tc>
      </w:tr>
      <w:tr>
        <w:trPr>
          <w:trHeight w:val="431"/>
        </w:trPr>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60" w:type="dxa"/>
            <w:vAlign w:val="bottom"/>
            <w:gridSpan w:val="2"/>
          </w:tcPr>
          <w:p>
            <w:pPr>
              <w:jc w:val="right"/>
              <w:ind w:right="315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Jeffrey B. Kindler—Chairman of the Board of Directors</w:t>
      </w:r>
    </w:p>
    <w:p>
      <w:pPr>
        <w:spacing w:after="0" w:line="11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Jeffrey B. Kindler is currently the Chairman of our Board of Directors, a non-executive position he has held since November 2019. Prior to that, he was the Executive Chairman of our Board of Directors from April 2015 until November 2019. Mr. Kindler has served as Chief Executive Officer of Centrexion Corporation since 2014; as a Venture Partner at Lux Capital since 2012; as a Managing Director at Starboard Capital Partners, since 2010; and as an Operating Partner at Artis Ventures. From 2006 to 2010, Mr. Kindler was the Chairman and Chief Executive Officer of Pfizer Inc. Prior to his appointment as Pfizer’s CEO, Mr. Kindler served as Pfizer’s Executive Vice President and General Counsel as well as a Vice Chairman of the company. Prior to joining Pfizer in 2002, he was Chairman of Boston Market Corporation from 2000 to 2001 and President of the Partner Brands group of McDonald’s Corporation during 2001. Mr. Kindler previously served on the Board of Directors of Chipotle Mexican Grill, Inc., a chain of fast casual restaurants, from 2012 to 2014. He currently serves on the boards of directors of Centrexion Corporation, a developer of novel therapeutics targeting chronic pain, SIGA Technologies, Inc., a developer of novel antiviral therapeutics, Perrigo Company plc, a leading global over-the-counter consumer goods and specialty pharmaceutical company, Intrexon Corporation, a synthetic biology company, PPD, a global contract drug discovery and development research organization, as well as a number of other privately held companies. Mr. Kindler holds a bachelor’s degree from Tufts University and a J.D. from Harvard Law School. We believe Mr. Kindler’s experience as Chief Executive Officer of Centrexion Corporation, in addition to his years of experience in the healthcare industry, qualifies him to serve on our Board of Directors.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A. Fry—Director</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John A. Fry was appointed to our Board of Directors in March 2016. Mr. Fry has served as President of Drexel University since 2010. From 2002 to 2010, Mr. Fry served as the President of Franklin &amp; Marshall College and from 1995 to 2002, he served as Executive Vice President of the University of Pennsylvania. Prior to joining the University of Pennsylvania, Mr. Fry was a management consultant for the higher education and nonprofit sectors. He worked closely with some of the nation’s premier colleges and universities, first with KPMG Peat Marwick and then with Coopers &amp; Lybrand’s National Higher Education Consulting Practice where he was elected a partner in the firm and eventually became partner-in-charge of the national practice. Mr. Fry is a member of the Board of Directors of Community Health Systems, a leading operator of general acute care hospitals, and Macquarie Investment Management (formerly Delaware Investments), a U.S. based asset management firm. Mr. Fry holds a bachelor’s degree from Lafayette College and a master’s degree in business administration from the New York University Stern School of Business. Mr. Fry brings extensive experience in leadership and corporate governance. For these reasons, we believe he is well qualified to serve on our Board of Directors.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Hersh Kozlov—Director</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Hersh Kozlov has served on our Board of Directors since September 2019. Mr. Kozlov is the managing partner of the Cherry Hill, NJ office of Duane Morris, an international law firm, and has been a partner there since 2009. Previously he was a partner at Wolf, Block, Schorr and Solis-Cohen LLP, a law firm, from 2001 to 2009. In the course of his practice, Mr. Kozlov has represented investment banks, lenders, private equity firms, financial institutions and banks. He is also a member of the board of directors of The Bancorp, Inc. and a former member of the board of directors of Resource America, Inc., prior to its sale. He holds a bachelor of arts degree from Temple University and a J.D. from Case Western Reserve University School of Law. Mr. Kozlov has extensive legal and business experience from his position as a partner at leading law firms. For these reasons, we believe he is well qualified to serve on our Board of Directors.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Paul G. Savas—Director</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Paul G. Savas has served on our Board of Directors since April 2015. Mr. Savas is Executive Vice President and Chief Financial Officer at MacAndrews. He joined MacAndrews in 1994 as Director of Corporate Finance, served in various positions of increasing responsibility and became Chief Financial Officer in 2007. He also serves as a director of Harland Clarke Holding Corp., SIGA Technologies, Inc., and Revlon, Inc., and served as a member of the Board of Directors of vTvx Holdings I LLC and vTvx Holdings II LLC, our predecessors, from 2007 through 2015. He holds a bachelor’s degree in Accounting from Rutgers University and an M.B.A. from Fordham University. Mr. Savas provides our Board of Directors valuable business, leadership and management insights with respect to our strategic, operational and financial direction. For these reasons, we believe he is well qualified to serve on our Board of Directors.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Noel J. Spiegel—Director</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Noel J. Spiegel was appointed to our Board of Directors in July 2015. Mr. Spiegel was a partner at Deloitte &amp; Touche, LLP, a global professional services firm, where he practiced from September 1969 until his retirement in May 2010. In his over 40 year career at Deloitte, he served in numerous management positions, including as Deputy Managing Partner, member of the Executive Committee, Managing Partner of Deloitte’s Transaction Assurance practice, Global Offerings and IFRS practice and Technology, Media and Telecommunications practice (Northeast Region), and as Partner-in-Charge of Audit Operations in Deloitte’s New York office.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5" w:name="page76"/>
    <w:bookmarkEnd w:id="75"/>
    <w:p>
      <w:pPr>
        <w:spacing w:after="0" w:line="279" w:lineRule="auto"/>
        <w:rPr>
          <w:sz w:val="20"/>
          <w:szCs w:val="20"/>
          <w:color w:val="auto"/>
        </w:rPr>
      </w:pPr>
      <w:r>
        <w:rPr>
          <w:rFonts w:ascii="Arial" w:cs="Arial" w:eastAsia="Arial" w:hAnsi="Arial"/>
          <w:sz w:val="17"/>
          <w:szCs w:val="17"/>
          <w:color w:val="auto"/>
        </w:rPr>
        <w:t>Mr. Spiegel also serves on the Board of Directors of American Eagle Outfitters, Inc., a leading apparel and accessories retailer, and Radian Group, Inc., a leading mortgage insurance company. He holds a bachelor’s degree from Long Island University and attended the Advanced Management Program at Harvard Business School. Mr. Spiegel provides expertise in public accounting, disclosure and financial system management to our Board of Directors and our Audit Committee. For these reasons, we believe he is well qualified to serve on our Board of Directors.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Howard L. Weiner—Director</w:t>
      </w:r>
    </w:p>
    <w:p>
      <w:pPr>
        <w:spacing w:after="0" w:line="117" w:lineRule="exact"/>
        <w:rPr>
          <w:sz w:val="20"/>
          <w:szCs w:val="20"/>
          <w:color w:val="auto"/>
        </w:rPr>
      </w:pPr>
    </w:p>
    <w:p>
      <w:pPr>
        <w:ind w:right="200" w:firstLine="509"/>
        <w:spacing w:after="0" w:line="272" w:lineRule="auto"/>
        <w:rPr>
          <w:sz w:val="20"/>
          <w:szCs w:val="20"/>
          <w:color w:val="auto"/>
        </w:rPr>
      </w:pPr>
      <w:r>
        <w:rPr>
          <w:rFonts w:ascii="Arial" w:cs="Arial" w:eastAsia="Arial" w:hAnsi="Arial"/>
          <w:sz w:val="17"/>
          <w:szCs w:val="17"/>
          <w:color w:val="auto"/>
        </w:rPr>
        <w:t>Howard L. Weiner was appointed to our Board of Directors in July 2017. Dr. Weiner, the Robert L. Kroc Professor of Neurology at the Harvard Medical School since 1997 and Co-Director of the Center for Neurologic Diseases at the Brigham &amp; Women’s Hospital since 1985, pioneered the use of immunotherapy for the treatment of multiple sclerosis and has investigated immune abnormalities in the disease. He also pioneered the use of the mucosal immune system for the treatment of autoimmune and other diseases, including Alzheimer’s disease and Lou Gehrig’s disease. Based on his work, vaccines are being tested in multiple sclerosis, diabetes, and most recently in Alzheimer’s disease. Dr. Weiner attended Dartmouth College, and received his M.D. from the University of Colorado School of Medicine. Dr. Weiner provides significant medical expertise and clinical experience to our Board of Directors. For these reasons, we believe he is well qualified to serve on our Board of Directors.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Corporate Governance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the Board</w:t>
      </w:r>
    </w:p>
    <w:p>
      <w:pPr>
        <w:spacing w:after="0" w:line="117" w:lineRule="exact"/>
        <w:rPr>
          <w:sz w:val="20"/>
          <w:szCs w:val="20"/>
          <w:color w:val="auto"/>
        </w:rPr>
      </w:pPr>
    </w:p>
    <w:p>
      <w:pPr>
        <w:ind w:right="160" w:firstLine="509"/>
        <w:spacing w:after="0" w:line="297" w:lineRule="auto"/>
        <w:rPr>
          <w:sz w:val="20"/>
          <w:szCs w:val="20"/>
          <w:color w:val="auto"/>
        </w:rPr>
      </w:pPr>
      <w:r>
        <w:rPr>
          <w:rFonts w:ascii="Arial" w:cs="Arial" w:eastAsia="Arial" w:hAnsi="Arial"/>
          <w:sz w:val="16"/>
          <w:szCs w:val="16"/>
          <w:color w:val="auto"/>
        </w:rPr>
        <w:t>Our Board of Directors currently consists of six directors. In accordance with our amended and restated certificate of incorporation and our amended and restated bylaws, a majority of our Board of Directors may fix the number of directors. Each director is to hold office until his or her successor is duly elected and qualified or until his or her earlier death, resignation, disqualification or removal. At any meeting of our Board of Directors, the presence in person of a majority of the total number of directors then in office will constitute a quorum for all purposes. Pursuant to the Investor Rights Agreement, MacAndrews currently has the right to designate as nominees four directors. The MacAndrews Nominees are Messrs. Kindler, Kozlov, Savas, and Weiner.</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We separate the position of Chairman of our Board of Directors, currently Mr. Kindler, and that of Chief Executive Officer, currently Stephen</w:t>
      </w:r>
    </w:p>
    <w:p>
      <w:pPr>
        <w:spacing w:after="0" w:line="23"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L. Holcombe. While our Board of Directors currently believes the separation of these positions serves the aims of our company, our Board of Directors does not believe that it is appropriate to prohibit one person from serving as both Chairman of the Board of Directors and Chief Executive Officer. We believe our leadership structure is appropriate given its balance and separation of powers, the industry and board experience of Mr. Kindler, and the historical experience and understanding of our Company of Mr. Holcombe.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our Board of Directors</w:t>
      </w:r>
    </w:p>
    <w:p>
      <w:pPr>
        <w:spacing w:after="0" w:line="225"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 xml:space="preserve">In July 2015, our Board of Directors adopted written charters for each of its permanent committees, all of which are available in the </w:t>
      </w:r>
      <w:r>
        <w:rPr>
          <w:rFonts w:ascii="Arial" w:cs="Arial" w:eastAsia="Arial" w:hAnsi="Arial"/>
          <w:sz w:val="17"/>
          <w:szCs w:val="17"/>
          <w:i w:val="1"/>
          <w:iCs w:val="1"/>
          <w:color w:val="auto"/>
        </w:rPr>
        <w:t>Investors—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Corporate Governance—Documents &amp; Charters </w:t>
      </w:r>
      <w:r>
        <w:rPr>
          <w:rFonts w:ascii="Arial" w:cs="Arial" w:eastAsia="Arial" w:hAnsi="Arial"/>
          <w:sz w:val="17"/>
          <w:szCs w:val="17"/>
          <w:color w:val="auto"/>
        </w:rPr>
        <w:t>section of our website at</w:t>
      </w:r>
      <w:r>
        <w:rPr>
          <w:rFonts w:ascii="Arial" w:cs="Arial" w:eastAsia="Arial" w:hAnsi="Arial"/>
          <w:sz w:val="17"/>
          <w:szCs w:val="17"/>
          <w:i w:val="1"/>
          <w:iCs w:val="1"/>
          <w:color w:val="auto"/>
        </w:rPr>
        <w:t xml:space="preserve"> www.vtvtherapeutics.com</w:t>
      </w:r>
      <w:r>
        <w:rPr>
          <w:rFonts w:ascii="Arial" w:cs="Arial" w:eastAsia="Arial" w:hAnsi="Arial"/>
          <w:sz w:val="17"/>
          <w:szCs w:val="17"/>
          <w:color w:val="auto"/>
        </w:rPr>
        <w:t>. Pursuant to the Investor Rights Agreement, so long as</w:t>
      </w:r>
      <w:r>
        <w:rPr>
          <w:rFonts w:ascii="Arial" w:cs="Arial" w:eastAsia="Arial" w:hAnsi="Arial"/>
          <w:sz w:val="17"/>
          <w:szCs w:val="17"/>
          <w:i w:val="1"/>
          <w:iCs w:val="1"/>
          <w:color w:val="auto"/>
        </w:rPr>
        <w:t xml:space="preserve"> </w:t>
      </w:r>
      <w:r>
        <w:rPr>
          <w:rFonts w:ascii="Arial" w:cs="Arial" w:eastAsia="Arial" w:hAnsi="Arial"/>
          <w:sz w:val="17"/>
          <w:szCs w:val="17"/>
          <w:color w:val="auto"/>
        </w:rPr>
        <w:t>MacAndrews beneficially owns 25% or more of our outstanding common stock, MacAndrews has the right, subject to applicable corporate governance rules of the SEC and the NASDAQ Stock Market listing rules, to designate the members of the committees of the Board of Directors.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right="140" w:firstLine="509"/>
        <w:spacing w:after="0" w:line="297" w:lineRule="auto"/>
        <w:rPr>
          <w:sz w:val="20"/>
          <w:szCs w:val="20"/>
          <w:color w:val="auto"/>
        </w:rPr>
      </w:pPr>
      <w:r>
        <w:rPr>
          <w:rFonts w:ascii="Arial" w:cs="Arial" w:eastAsia="Arial" w:hAnsi="Arial"/>
          <w:sz w:val="16"/>
          <w:szCs w:val="16"/>
          <w:color w:val="auto"/>
        </w:rPr>
        <w:t>Our Audit Committee currently consists of Messrs. Noel J. Spiegel (Chair), John A. Fry, and Howard L. Weiner. The Board of Directors has determined that Mr. Spiegel qualifies as an “audit committee financial expert” as such term is defined in Item 407(d)(5) of Regulation S-K. Our Board of Directors has determined that Messrs. Fry, Spiegel and Weiner are independent within the meaning of the NASDAQ Stock Market listing rules and meet the additional test for independence for Audit Committee members imposed by SEC regulation and the NASDAQ Stock Market listing rules. As of the date of this Annual Report, our Audit Committee is fully independent and is in compliance with the applicable SEC and NASDAQ rules and regulations.</w:t>
      </w:r>
    </w:p>
    <w:p>
      <w:pPr>
        <w:spacing w:after="0" w:line="158" w:lineRule="exact"/>
        <w:rPr>
          <w:sz w:val="20"/>
          <w:szCs w:val="20"/>
          <w:color w:val="auto"/>
        </w:rPr>
      </w:pPr>
    </w:p>
    <w:p>
      <w:pPr>
        <w:ind w:firstLine="509"/>
        <w:spacing w:after="0" w:line="276" w:lineRule="auto"/>
        <w:rPr>
          <w:sz w:val="20"/>
          <w:szCs w:val="20"/>
          <w:color w:val="auto"/>
        </w:rPr>
      </w:pPr>
      <w:r>
        <w:rPr>
          <w:rFonts w:ascii="Arial" w:cs="Arial" w:eastAsia="Arial" w:hAnsi="Arial"/>
          <w:sz w:val="17"/>
          <w:szCs w:val="17"/>
          <w:color w:val="auto"/>
        </w:rPr>
        <w:t>Our Audit Committee met seven times during our 2019 fiscal year. Our Audit Committee assists the Board of Directors in monitoring the audit of our financial statements, our independent registered public accounting firm’s qualifications and independence, the performance of our independent auditors and our compliance with legal and regulatory requirements. The Audit Committee has direct responsibility for the appointment, compensation, retention (including termination) and oversight of our independent auditors, and our independent auditors report directly to the Audit Committee. The Audit Committee also reviews and approves related party transactions as required by the applicable NASDAQ rules.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Our Compensation Committee consists of Messrs. Paul G. Savas (Chair) and John A. Fry. Because we are a controlled company under the NASDAQ Stock Market listing rules, our Compensation Committee is not required to be fully independent. Our Compensation Committee took action by written consent once during our 2019 fiscal year. Our Compensation Committee is responsible for reviewing and recommending policies relating to the compensation and benefits of our directors and employees, including our Chief Executive Officer and other executive officers.</w:t>
      </w:r>
    </w:p>
    <w:p>
      <w:pPr>
        <w:spacing w:after="0" w:line="171"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 may form and delegate authority to subcommittees where appropriate, provided that the subcommittees are composed entirely of directors who satisfy the applicable independence requirement of our Corporate Governance Guidelines and the NASDAQ Stock Market listing rules, subject to any applicable controlled company or other exemption.</w:t>
      </w:r>
    </w:p>
    <w:p>
      <w:pPr>
        <w:spacing w:after="0" w:line="188" w:lineRule="exact"/>
        <w:rPr>
          <w:sz w:val="20"/>
          <w:szCs w:val="20"/>
          <w:color w:val="auto"/>
        </w:rPr>
      </w:pPr>
    </w:p>
    <w:p>
      <w:pPr>
        <w:ind w:right="920" w:firstLine="509"/>
        <w:spacing w:after="0" w:line="277" w:lineRule="auto"/>
        <w:rPr>
          <w:sz w:val="20"/>
          <w:szCs w:val="20"/>
          <w:color w:val="auto"/>
        </w:rPr>
      </w:pPr>
      <w:r>
        <w:rPr>
          <w:rFonts w:ascii="Arial" w:cs="Arial" w:eastAsia="Arial" w:hAnsi="Arial"/>
          <w:sz w:val="18"/>
          <w:szCs w:val="18"/>
          <w:color w:val="auto"/>
        </w:rPr>
        <w:t>In accordance with the Compensation Committee’s charter, our President and Chief Executive Officer may not be present during voting or deliberations of the Committee regarding his or her compensation.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right="40" w:firstLine="509"/>
        <w:spacing w:after="0" w:line="297" w:lineRule="auto"/>
        <w:rPr>
          <w:sz w:val="20"/>
          <w:szCs w:val="20"/>
          <w:color w:val="auto"/>
        </w:rPr>
      </w:pPr>
      <w:r>
        <w:rPr>
          <w:rFonts w:ascii="Arial" w:cs="Arial" w:eastAsia="Arial" w:hAnsi="Arial"/>
          <w:sz w:val="16"/>
          <w:szCs w:val="16"/>
          <w:color w:val="auto"/>
        </w:rPr>
        <w:t>Our Nominating and Corporate Governance Committee consists of Mr. Jeffrey B. Kindler. Because we are a controlled company under the NASDAQ Stock Market listing rules, our Nominating and Corporate Governance Committee is not required to be fully independent. Our Nominating and Corporate Governance Committee took action by written consent once during our 2019 fiscal year. Our Nominating and Corporate Governance Committee is responsible for selecting or recommending that the Board of Directors select candidates for election to our Board of Directors, developing and recommending to the Board of Directors corporate governance guidelines that are applicable to us and overseeing Board of Director and management evaluations.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w:t>
      </w:r>
    </w:p>
    <w:p>
      <w:pPr>
        <w:spacing w:after="0" w:line="117" w:lineRule="exact"/>
        <w:rPr>
          <w:sz w:val="20"/>
          <w:szCs w:val="20"/>
          <w:color w:val="auto"/>
        </w:rPr>
      </w:pPr>
    </w:p>
    <w:p>
      <w:pPr>
        <w:ind w:firstLine="509"/>
        <w:spacing w:after="0" w:line="276" w:lineRule="auto"/>
        <w:rPr>
          <w:sz w:val="20"/>
          <w:szCs w:val="20"/>
          <w:color w:val="auto"/>
        </w:rPr>
      </w:pPr>
      <w:r>
        <w:rPr>
          <w:rFonts w:ascii="Arial" w:cs="Arial" w:eastAsia="Arial" w:hAnsi="Arial"/>
          <w:sz w:val="17"/>
          <w:szCs w:val="17"/>
          <w:color w:val="auto"/>
        </w:rPr>
        <w:t>Our Board of Directors has an oversight role, as a whole and also at the committee level, in overseeing management of our risks. Our Board of Directors regularly reviews information regarding our credit, liquidity and operations, as well as the risks associated with each. The Compensation Committee is responsible for overseeing the management of risks relating to its employee compensation plans and arrangements, and the Audit Committee oversees the management of financial risks. While each committee is responsible for evaluating certain risks and overseeing the management of such risks, the entire Board of Directors is regularly informed through committee reports about such risks.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Conduct and Ethics</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 xml:space="preserve">Our Board of Directors has adopted a Code of Conduct and Ethics that applies to all of our directors, officers and employees and is intended to comply with the relevant listing requirements for a code of conduct as well as qualify as a “code of ethics” as defined by the rules of the SEC. The Code of Conduct and Ethics contains general guidelines for conducting our business consistent with the highest standards of business ethics. We intend to disclose any future amendments to certain provisions of our Code of Conduct and Ethics, or waivers of such provisions applicable to any principal executive officer, principal financial officer, principal accounting officer and controller, or persons performing similar functions, and our directors, on our website at </w:t>
      </w:r>
      <w:r>
        <w:rPr>
          <w:rFonts w:ascii="Arial" w:cs="Arial" w:eastAsia="Arial" w:hAnsi="Arial"/>
          <w:sz w:val="18"/>
          <w:szCs w:val="18"/>
          <w:i w:val="1"/>
          <w:iCs w:val="1"/>
          <w:color w:val="auto"/>
        </w:rPr>
        <w:t>www.vtvtherapeutics.com</w:t>
      </w:r>
      <w:r>
        <w:rPr>
          <w:rFonts w:ascii="Arial" w:cs="Arial" w:eastAsia="Arial" w:hAnsi="Arial"/>
          <w:sz w:val="18"/>
          <w:szCs w:val="18"/>
          <w:color w:val="auto"/>
        </w:rPr>
        <w:t>. The Code of Conduct and Ethics is available on our website under</w:t>
      </w:r>
      <w:r>
        <w:rPr>
          <w:rFonts w:ascii="Arial" w:cs="Arial" w:eastAsia="Arial" w:hAnsi="Arial"/>
          <w:sz w:val="18"/>
          <w:szCs w:val="18"/>
          <w:i w:val="1"/>
          <w:iCs w:val="1"/>
          <w:color w:val="auto"/>
        </w:rPr>
        <w:t xml:space="preserve"> Documents &amp; Charters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Investors—Corporate Governance </w:t>
      </w:r>
      <w:r>
        <w:rPr>
          <w:rFonts w:ascii="Arial" w:cs="Arial" w:eastAsia="Arial" w:hAnsi="Arial"/>
          <w:sz w:val="18"/>
          <w:szCs w:val="18"/>
          <w:color w:val="auto"/>
        </w:rPr>
        <w:t>section of our website at</w:t>
      </w:r>
      <w:r>
        <w:rPr>
          <w:rFonts w:ascii="Arial" w:cs="Arial" w:eastAsia="Arial" w:hAnsi="Arial"/>
          <w:sz w:val="18"/>
          <w:szCs w:val="18"/>
          <w:i w:val="1"/>
          <w:iCs w:val="1"/>
          <w:color w:val="auto"/>
        </w:rPr>
        <w:t xml:space="preserve"> www.vtvtherapeutics.com</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Stockholder Board Nomination Process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w:t>
      </w:r>
    </w:p>
    <w:p>
      <w:pPr>
        <w:spacing w:after="0" w:line="117" w:lineRule="exact"/>
        <w:rPr>
          <w:sz w:val="20"/>
          <w:szCs w:val="20"/>
          <w:color w:val="auto"/>
        </w:rPr>
      </w:pPr>
    </w:p>
    <w:p>
      <w:pPr>
        <w:ind w:right="40" w:firstLine="509"/>
        <w:spacing w:after="0" w:line="264" w:lineRule="auto"/>
        <w:rPr>
          <w:sz w:val="20"/>
          <w:szCs w:val="20"/>
          <w:color w:val="auto"/>
        </w:rPr>
      </w:pPr>
      <w:r>
        <w:rPr>
          <w:rFonts w:ascii="Arial" w:cs="Arial" w:eastAsia="Arial" w:hAnsi="Arial"/>
          <w:sz w:val="18"/>
          <w:szCs w:val="18"/>
          <w:color w:val="auto"/>
        </w:rPr>
        <w:t>The following summary compensation table sets forth information regarding the compensation paid, awarded to or earned by our President and Chief Executive Officer and our two other most highly compensated executive officers (“Named Executive Officers”) for the fiscal years ended December 31, 2019 and 2018, for services rendered in all capacities during the fiscal year presented.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Non-Equity</w:t>
            </w: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All Other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Salary</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Awards</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(1)</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(2)</w:t>
            </w:r>
          </w:p>
        </w:tc>
        <w:tc>
          <w:tcPr>
            <w:tcW w:w="3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(2)</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43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tbl>
      <w:tblPr>
        <w:tblLayout w:type="fixed"/>
        <w:tblInd w:w="0" w:type="dxa"/>
        <w:tblCellMar>
          <w:top w:w="0" w:type="dxa"/>
          <w:left w:w="0" w:type="dxa"/>
          <w:bottom w:w="0" w:type="dxa"/>
          <w:right w:w="0" w:type="dxa"/>
        </w:tblCellMar>
      </w:tblP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Stephen L. Holcombe</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450,000</w:t>
            </w:r>
          </w:p>
        </w:tc>
        <w:tc>
          <w:tcPr>
            <w:tcW w:w="1220" w:type="dxa"/>
            <w:vAlign w:val="bottom"/>
          </w:tcPr>
          <w:p>
            <w:pPr>
              <w:ind w:left="520"/>
              <w:spacing w:after="0"/>
              <w:rPr>
                <w:sz w:val="20"/>
                <w:szCs w:val="20"/>
                <w:color w:val="auto"/>
              </w:rPr>
            </w:pPr>
            <w:r>
              <w:rPr>
                <w:rFonts w:ascii="Arial" w:cs="Arial" w:eastAsia="Arial" w:hAnsi="Arial"/>
                <w:sz w:val="18"/>
                <w:szCs w:val="18"/>
                <w:color w:val="auto"/>
              </w:rPr>
              <w:t>—</w:t>
            </w:r>
          </w:p>
        </w:tc>
        <w:tc>
          <w:tcPr>
            <w:tcW w:w="1040" w:type="dxa"/>
            <w:vAlign w:val="bottom"/>
          </w:tcPr>
          <w:p>
            <w:pPr>
              <w:ind w:left="5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372,997</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9,806</w:t>
            </w:r>
          </w:p>
        </w:tc>
        <w:tc>
          <w:tcPr>
            <w:tcW w:w="320" w:type="dxa"/>
            <w:vAlign w:val="bottom"/>
          </w:tcPr>
          <w:p>
            <w:pPr>
              <w:jc w:val="right"/>
              <w:spacing w:after="0"/>
              <w:rPr>
                <w:sz w:val="20"/>
                <w:szCs w:val="20"/>
                <w:color w:val="auto"/>
              </w:rPr>
            </w:pPr>
            <w:r>
              <w:rPr>
                <w:rFonts w:ascii="Arial" w:cs="Arial" w:eastAsia="Arial" w:hAnsi="Arial"/>
                <w:sz w:val="15"/>
                <w:szCs w:val="15"/>
                <w:color w:val="auto"/>
              </w:rPr>
              <w:t>(4 )</w:t>
            </w:r>
          </w:p>
        </w:tc>
      </w:tr>
      <w:tr>
        <w:trPr>
          <w:trHeight w:val="216"/>
        </w:trPr>
        <w:tc>
          <w:tcPr>
            <w:tcW w:w="2660" w:type="dxa"/>
            <w:vAlign w:val="bottom"/>
          </w:tcPr>
          <w:p>
            <w:pPr>
              <w:ind w:left="260"/>
              <w:spacing w:after="0"/>
              <w:rPr>
                <w:sz w:val="20"/>
                <w:szCs w:val="20"/>
                <w:color w:val="auto"/>
              </w:rPr>
            </w:pPr>
            <w:r>
              <w:rPr>
                <w:rFonts w:ascii="Arial" w:cs="Arial" w:eastAsia="Arial" w:hAnsi="Arial"/>
                <w:sz w:val="18"/>
                <w:szCs w:val="18"/>
                <w:i w:val="1"/>
                <w:iCs w:val="1"/>
                <w:color w:val="auto"/>
                <w:w w:val="98"/>
              </w:rPr>
              <w:t>President and Chief Executive</w:t>
            </w: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660" w:type="dxa"/>
            <w:vAlign w:val="bottom"/>
          </w:tcPr>
          <w:p>
            <w:pPr>
              <w:ind w:left="260"/>
              <w:spacing w:after="0"/>
              <w:rPr>
                <w:sz w:val="20"/>
                <w:szCs w:val="20"/>
                <w:color w:val="auto"/>
              </w:rPr>
            </w:pPr>
            <w:r>
              <w:rPr>
                <w:rFonts w:ascii="Arial" w:cs="Arial" w:eastAsia="Arial" w:hAnsi="Arial"/>
                <w:sz w:val="18"/>
                <w:szCs w:val="18"/>
                <w:i w:val="1"/>
                <w:iCs w:val="1"/>
                <w:color w:val="auto"/>
              </w:rPr>
              <w:t>Officer</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450,000</w:t>
            </w:r>
          </w:p>
        </w:tc>
        <w:tc>
          <w:tcPr>
            <w:tcW w:w="1220" w:type="dxa"/>
            <w:vAlign w:val="bottom"/>
          </w:tcPr>
          <w:p>
            <w:pPr>
              <w:ind w:left="520"/>
              <w:spacing w:after="0"/>
              <w:rPr>
                <w:sz w:val="20"/>
                <w:szCs w:val="20"/>
                <w:color w:val="auto"/>
              </w:rPr>
            </w:pPr>
            <w:r>
              <w:rPr>
                <w:rFonts w:ascii="Arial" w:cs="Arial" w:eastAsia="Arial" w:hAnsi="Arial"/>
                <w:sz w:val="18"/>
                <w:szCs w:val="18"/>
                <w:color w:val="auto"/>
              </w:rPr>
              <w:t>—</w:t>
            </w:r>
          </w:p>
        </w:tc>
        <w:tc>
          <w:tcPr>
            <w:tcW w:w="1040" w:type="dxa"/>
            <w:vAlign w:val="bottom"/>
          </w:tcPr>
          <w:p>
            <w:pPr>
              <w:ind w:left="5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9,400</w:t>
            </w:r>
          </w:p>
        </w:tc>
        <w:tc>
          <w:tcPr>
            <w:tcW w:w="320" w:type="dxa"/>
            <w:vAlign w:val="bottom"/>
          </w:tcPr>
          <w:p>
            <w:pPr>
              <w:jc w:val="right"/>
              <w:spacing w:after="0"/>
              <w:rPr>
                <w:sz w:val="20"/>
                <w:szCs w:val="20"/>
                <w:color w:val="auto"/>
              </w:rPr>
            </w:pPr>
            <w:r>
              <w:rPr>
                <w:rFonts w:ascii="Arial" w:cs="Arial" w:eastAsia="Arial" w:hAnsi="Arial"/>
                <w:sz w:val="15"/>
                <w:szCs w:val="15"/>
                <w:color w:val="auto"/>
              </w:rPr>
              <w:t>(4 )</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Rudy C. Howard</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325,000</w:t>
            </w:r>
          </w:p>
        </w:tc>
        <w:tc>
          <w:tcPr>
            <w:tcW w:w="1220" w:type="dxa"/>
            <w:vAlign w:val="bottom"/>
          </w:tcPr>
          <w:p>
            <w:pPr>
              <w:ind w:left="520"/>
              <w:spacing w:after="0"/>
              <w:rPr>
                <w:sz w:val="20"/>
                <w:szCs w:val="20"/>
                <w:color w:val="auto"/>
              </w:rPr>
            </w:pPr>
            <w:r>
              <w:rPr>
                <w:rFonts w:ascii="Arial" w:cs="Arial" w:eastAsia="Arial" w:hAnsi="Arial"/>
                <w:sz w:val="18"/>
                <w:szCs w:val="18"/>
                <w:color w:val="auto"/>
              </w:rPr>
              <w:t>—</w:t>
            </w:r>
          </w:p>
        </w:tc>
        <w:tc>
          <w:tcPr>
            <w:tcW w:w="1040" w:type="dxa"/>
            <w:vAlign w:val="bottom"/>
          </w:tcPr>
          <w:p>
            <w:pPr>
              <w:ind w:left="5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233,123</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33,256</w:t>
            </w:r>
          </w:p>
        </w:tc>
        <w:tc>
          <w:tcPr>
            <w:tcW w:w="320" w:type="dxa"/>
            <w:vAlign w:val="bottom"/>
          </w:tcPr>
          <w:p>
            <w:pPr>
              <w:jc w:val="right"/>
              <w:spacing w:after="0"/>
              <w:rPr>
                <w:sz w:val="20"/>
                <w:szCs w:val="20"/>
                <w:color w:val="auto"/>
              </w:rPr>
            </w:pPr>
            <w:r>
              <w:rPr>
                <w:rFonts w:ascii="Arial" w:cs="Arial" w:eastAsia="Arial" w:hAnsi="Arial"/>
                <w:sz w:val="15"/>
                <w:szCs w:val="15"/>
                <w:color w:val="auto"/>
              </w:rPr>
              <w:t>(5 )</w:t>
            </w:r>
          </w:p>
        </w:tc>
      </w:tr>
      <w:tr>
        <w:trPr>
          <w:trHeight w:val="216"/>
        </w:trPr>
        <w:tc>
          <w:tcPr>
            <w:tcW w:w="2660" w:type="dxa"/>
            <w:vAlign w:val="bottom"/>
          </w:tcPr>
          <w:p>
            <w:pPr>
              <w:ind w:left="260"/>
              <w:spacing w:after="0"/>
              <w:rPr>
                <w:sz w:val="20"/>
                <w:szCs w:val="20"/>
                <w:color w:val="auto"/>
              </w:rPr>
            </w:pPr>
            <w:r>
              <w:rPr>
                <w:rFonts w:ascii="Arial" w:cs="Arial" w:eastAsia="Arial" w:hAnsi="Arial"/>
                <w:sz w:val="18"/>
                <w:szCs w:val="18"/>
                <w:i w:val="1"/>
                <w:iCs w:val="1"/>
                <w:color w:val="auto"/>
              </w:rPr>
              <w:t>Executive Vice President,</w:t>
            </w: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660" w:type="dxa"/>
            <w:vAlign w:val="bottom"/>
          </w:tcPr>
          <w:p>
            <w:pPr>
              <w:ind w:left="380"/>
              <w:spacing w:after="0"/>
              <w:rPr>
                <w:sz w:val="20"/>
                <w:szCs w:val="20"/>
                <w:color w:val="auto"/>
              </w:rPr>
            </w:pPr>
            <w:r>
              <w:rPr>
                <w:rFonts w:ascii="Arial" w:cs="Arial" w:eastAsia="Arial" w:hAnsi="Arial"/>
                <w:sz w:val="18"/>
                <w:szCs w:val="18"/>
                <w:i w:val="1"/>
                <w:iCs w:val="1"/>
                <w:color w:val="auto"/>
              </w:rPr>
              <w:t>Chief Financial Officer</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325,000</w:t>
            </w:r>
          </w:p>
        </w:tc>
        <w:tc>
          <w:tcPr>
            <w:tcW w:w="1220" w:type="dxa"/>
            <w:vAlign w:val="bottom"/>
          </w:tcPr>
          <w:p>
            <w:pPr>
              <w:ind w:left="520"/>
              <w:spacing w:after="0"/>
              <w:rPr>
                <w:sz w:val="20"/>
                <w:szCs w:val="20"/>
                <w:color w:val="auto"/>
              </w:rPr>
            </w:pPr>
            <w:r>
              <w:rPr>
                <w:rFonts w:ascii="Arial" w:cs="Arial" w:eastAsia="Arial" w:hAnsi="Arial"/>
                <w:sz w:val="18"/>
                <w:szCs w:val="18"/>
                <w:color w:val="auto"/>
              </w:rPr>
              <w:t>—</w:t>
            </w:r>
          </w:p>
        </w:tc>
        <w:tc>
          <w:tcPr>
            <w:tcW w:w="1040" w:type="dxa"/>
            <w:vAlign w:val="bottom"/>
          </w:tcPr>
          <w:p>
            <w:pPr>
              <w:ind w:left="5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32,238</w:t>
            </w:r>
          </w:p>
        </w:tc>
        <w:tc>
          <w:tcPr>
            <w:tcW w:w="320" w:type="dxa"/>
            <w:vAlign w:val="bottom"/>
          </w:tcPr>
          <w:p>
            <w:pPr>
              <w:jc w:val="right"/>
              <w:spacing w:after="0"/>
              <w:rPr>
                <w:sz w:val="20"/>
                <w:szCs w:val="20"/>
                <w:color w:val="auto"/>
              </w:rPr>
            </w:pPr>
            <w:r>
              <w:rPr>
                <w:rFonts w:ascii="Arial" w:cs="Arial" w:eastAsia="Arial" w:hAnsi="Arial"/>
                <w:sz w:val="15"/>
                <w:szCs w:val="15"/>
                <w:color w:val="auto"/>
              </w:rPr>
              <w:t>(5 )</w:t>
            </w:r>
          </w:p>
        </w:tc>
      </w:tr>
      <w:tr>
        <w:trPr>
          <w:trHeight w:val="229"/>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Jeffrey B. Kindler </w:t>
            </w:r>
            <w:r>
              <w:rPr>
                <w:rFonts w:ascii="Arial" w:cs="Arial" w:eastAsia="Arial" w:hAnsi="Arial"/>
                <w:sz w:val="15"/>
                <w:szCs w:val="15"/>
                <w:color w:val="auto"/>
              </w:rPr>
              <w:t>(6)</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235,000</w:t>
            </w:r>
          </w:p>
        </w:tc>
        <w:tc>
          <w:tcPr>
            <w:tcW w:w="1220" w:type="dxa"/>
            <w:vAlign w:val="bottom"/>
          </w:tcPr>
          <w:p>
            <w:pPr>
              <w:ind w:left="520"/>
              <w:spacing w:after="0"/>
              <w:rPr>
                <w:sz w:val="20"/>
                <w:szCs w:val="20"/>
                <w:color w:val="auto"/>
              </w:rPr>
            </w:pPr>
            <w:r>
              <w:rPr>
                <w:rFonts w:ascii="Arial" w:cs="Arial" w:eastAsia="Arial" w:hAnsi="Arial"/>
                <w:sz w:val="18"/>
                <w:szCs w:val="18"/>
                <w:color w:val="auto"/>
              </w:rPr>
              <w:t>—</w:t>
            </w:r>
          </w:p>
        </w:tc>
        <w:tc>
          <w:tcPr>
            <w:tcW w:w="1040" w:type="dxa"/>
            <w:vAlign w:val="bottom"/>
          </w:tcPr>
          <w:p>
            <w:pPr>
              <w:ind w:left="5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42,044</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16"/>
        </w:trPr>
        <w:tc>
          <w:tcPr>
            <w:tcW w:w="266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Chairman of the Board</w:t>
            </w: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of Directors</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250,000</w:t>
            </w:r>
          </w:p>
        </w:tc>
        <w:tc>
          <w:tcPr>
            <w:tcW w:w="1220" w:type="dxa"/>
            <w:vAlign w:val="bottom"/>
          </w:tcPr>
          <w:p>
            <w:pPr>
              <w:ind w:left="520"/>
              <w:spacing w:after="0"/>
              <w:rPr>
                <w:sz w:val="20"/>
                <w:szCs w:val="20"/>
                <w:color w:val="auto"/>
              </w:rPr>
            </w:pPr>
            <w:r>
              <w:rPr>
                <w:rFonts w:ascii="Arial" w:cs="Arial" w:eastAsia="Arial" w:hAnsi="Arial"/>
                <w:sz w:val="18"/>
                <w:szCs w:val="18"/>
                <w:color w:val="auto"/>
              </w:rPr>
              <w:t>—</w:t>
            </w:r>
          </w:p>
        </w:tc>
        <w:tc>
          <w:tcPr>
            <w:tcW w:w="1040" w:type="dxa"/>
            <w:vAlign w:val="bottom"/>
          </w:tcPr>
          <w:p>
            <w:pPr>
              <w:ind w:left="5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4286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ind w:left="5620" w:right="40" w:hanging="5612"/>
        <w:spacing w:after="0" w:line="511" w:lineRule="auto"/>
        <w:tabs>
          <w:tab w:leader="none" w:pos="504"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February 20, 2020, no bonus amounts have been approved with respect to 2019 and no bonuses were earned with respect to 2018.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832,803</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459,400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591,379</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357,238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277,044</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250,000</w:t>
      </w:r>
    </w:p>
    <w:p>
      <w:pPr>
        <w:sectPr>
          <w:pgSz w:w="11900" w:h="16838" w:orient="portrait"/>
          <w:cols w:equalWidth="0" w:num="2">
            <w:col w:w="10340" w:space="420"/>
            <w:col w:w="660"/>
          </w:cols>
          <w:pgMar w:left="240" w:top="449" w:right="239" w:bottom="1440" w:gutter="0" w:footer="0" w:header="0"/>
          <w:type w:val="continuous"/>
        </w:sectPr>
      </w:pPr>
    </w:p>
    <w:bookmarkStart w:id="78" w:name="page79"/>
    <w:bookmarkEnd w:id="78"/>
    <w:p>
      <w:pPr>
        <w:ind w:left="500" w:right="80" w:hanging="492"/>
        <w:spacing w:after="0" w:line="291"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reported amounts represent the aggregate grant date fair value of the awards computed in accordance with FASB ASC Topic 718. Assumptions used in the calculation of these amounts are included in Note 4 of the consolidated financial statements included in this Annual Report on Form 10-K.</w:t>
      </w:r>
    </w:p>
    <w:p>
      <w:pPr>
        <w:ind w:left="500" w:right="140" w:hanging="492"/>
        <w:spacing w:after="0" w:line="250"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accordance with required SEC disclosure rules, the 2019 fiscal year compensation shown in the Summary Compensation Table above does not include the grant date fair values of awards of stock options made in 2019 in respect of fiscal 2018 performance As of February 20, 2020, no stock or option awards have been granted in 2020 in respect of fiscal 2019 performance.</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 represents a match to the 401(k) plan and a health savings account contribution.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represent a housing allowance, match to the 401(k) plan and a health savings account contribution.</w:t>
      </w:r>
    </w:p>
    <w:p>
      <w:pPr>
        <w:spacing w:after="0" w:line="9" w:lineRule="exact"/>
        <w:rPr>
          <w:rFonts w:ascii="Arial" w:cs="Arial" w:eastAsia="Arial" w:hAnsi="Arial"/>
          <w:sz w:val="18"/>
          <w:szCs w:val="18"/>
          <w:color w:val="auto"/>
        </w:rPr>
      </w:pPr>
    </w:p>
    <w:p>
      <w:pPr>
        <w:ind w:left="500" w:right="200" w:hanging="492"/>
        <w:spacing w:after="0" w:line="261"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Kindler resigned from the position of Executive Chairman of the Company effective November 25, 2019. However, he remains the Chairman of our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Services Agreements</w:t>
      </w:r>
    </w:p>
    <w:p>
      <w:pPr>
        <w:spacing w:after="0" w:line="117" w:lineRule="exact"/>
        <w:rPr>
          <w:sz w:val="20"/>
          <w:szCs w:val="20"/>
          <w:color w:val="auto"/>
        </w:rPr>
      </w:pPr>
    </w:p>
    <w:p>
      <w:pPr>
        <w:ind w:right="240" w:firstLine="561"/>
        <w:spacing w:after="0" w:line="264" w:lineRule="auto"/>
        <w:rPr>
          <w:sz w:val="20"/>
          <w:szCs w:val="20"/>
          <w:color w:val="auto"/>
        </w:rPr>
      </w:pPr>
      <w:r>
        <w:rPr>
          <w:rFonts w:ascii="Arial" w:cs="Arial" w:eastAsia="Arial" w:hAnsi="Arial"/>
          <w:sz w:val="18"/>
          <w:szCs w:val="18"/>
          <w:color w:val="auto"/>
        </w:rPr>
        <w:t>We have entered into employment agreements with our President and Chief Executive Officer and our Chief Financial Officer. The employment agreements set forth the annual base salary, target bonus percentage, target equity grants, terms of severance and eligibility for employee benefits. We also entered into a services agreement with our Executive Chairman, which was terminated in November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xml:space="preserve">Executive Chairman Services Agreement. </w:t>
      </w:r>
      <w:r>
        <w:rPr>
          <w:rFonts w:ascii="Arial" w:cs="Arial" w:eastAsia="Arial" w:hAnsi="Arial"/>
          <w:sz w:val="17"/>
          <w:szCs w:val="17"/>
          <w:color w:val="auto"/>
        </w:rPr>
        <w:t>The services agreement with our Executive Chairman, Jeffrey B. Kindler, addressed his services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compensation only in his capacity as Executive Chairman of our Company. Mr. Kindler notified the company of his resignation as Executive Chairman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on November 25, 2019, but remains in his position as Chairman of the Board. The services agreement provided for a base fee of not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In connection with our IPO, we issued to our Executive Chairman an option to purchase up to 28,121 shares of our Class A common stock, at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of $15.00 per share, which option vests in three equal annual installments beginning on July 29, 2016 (the “Executive Chairman IPO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Chairman was also eligible to receive an annual performance bonus in respect of each completed fiscal year with a target value of $250,000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in stock options, restricted stock or restricted stock units or, at our election, in cash). The services agreement contained a customary one-year post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termination non-compete and non-solicit and other customary terms.</w:t>
      </w:r>
    </w:p>
    <w:p>
      <w:pPr>
        <w:spacing w:after="0" w:line="211" w:lineRule="exact"/>
        <w:rPr>
          <w:sz w:val="20"/>
          <w:szCs w:val="20"/>
          <w:color w:val="auto"/>
        </w:rPr>
      </w:pPr>
    </w:p>
    <w:p>
      <w:pPr>
        <w:ind w:right="220" w:firstLine="749"/>
        <w:spacing w:after="0" w:line="312" w:lineRule="auto"/>
        <w:rPr>
          <w:sz w:val="20"/>
          <w:szCs w:val="20"/>
          <w:color w:val="auto"/>
        </w:rPr>
      </w:pPr>
      <w:r>
        <w:rPr>
          <w:rFonts w:ascii="Arial" w:cs="Arial" w:eastAsia="Arial" w:hAnsi="Arial"/>
          <w:sz w:val="16"/>
          <w:szCs w:val="16"/>
          <w:color w:val="auto"/>
        </w:rPr>
        <w:t>Though the services agreement with our Executive Chairman does not provide for severance, it does provide for full acceleration of vesting of outstanding equity awards upon certain qualifying terminations of services. In his on-going role as Chairman of the Board of Directors, Mr. Kindler will be compensated $70,000 per year, payable in quarterly installments, as well as an annual option grant of 15,000 options to purchase Class A Common Stock.</w:t>
      </w:r>
    </w:p>
    <w:p>
      <w:pPr>
        <w:spacing w:after="0" w:line="147" w:lineRule="exact"/>
        <w:rPr>
          <w:sz w:val="20"/>
          <w:szCs w:val="20"/>
          <w:color w:val="auto"/>
        </w:rPr>
      </w:pPr>
    </w:p>
    <w:p>
      <w:pPr>
        <w:ind w:right="160" w:firstLine="749"/>
        <w:spacing w:after="0" w:line="255" w:lineRule="auto"/>
        <w:rPr>
          <w:sz w:val="20"/>
          <w:szCs w:val="20"/>
          <w:color w:val="auto"/>
        </w:rPr>
      </w:pPr>
      <w:r>
        <w:rPr>
          <w:rFonts w:ascii="Arial" w:cs="Arial" w:eastAsia="Arial" w:hAnsi="Arial"/>
          <w:sz w:val="18"/>
          <w:szCs w:val="18"/>
          <w:i w:val="1"/>
          <w:iCs w:val="1"/>
          <w:color w:val="auto"/>
        </w:rPr>
        <w:t xml:space="preserve">Employment Agreement with our President and Chief Executive Officer. </w:t>
      </w:r>
      <w:r>
        <w:rPr>
          <w:rFonts w:ascii="Arial" w:cs="Arial" w:eastAsia="Arial" w:hAnsi="Arial"/>
          <w:sz w:val="18"/>
          <w:szCs w:val="18"/>
          <w:color w:val="auto"/>
        </w:rPr>
        <w:t>In 2015, we entered into an employment agreement with Stephen L.</w:t>
      </w:r>
      <w:r>
        <w:rPr>
          <w:rFonts w:ascii="Arial" w:cs="Arial" w:eastAsia="Arial" w:hAnsi="Arial"/>
          <w:sz w:val="18"/>
          <w:szCs w:val="18"/>
          <w:i w:val="1"/>
          <w:iCs w:val="1"/>
          <w:color w:val="auto"/>
        </w:rPr>
        <w:t xml:space="preserve"> </w:t>
      </w:r>
      <w:r>
        <w:rPr>
          <w:rFonts w:ascii="Arial" w:cs="Arial" w:eastAsia="Arial" w:hAnsi="Arial"/>
          <w:sz w:val="18"/>
          <w:szCs w:val="18"/>
          <w:color w:val="auto"/>
        </w:rPr>
        <w:t>Holcombe, our President and Chief Executive Officer, which provided for a term through December 31, 2018, a base salary of not less than $450,000, and a target cash bonus of 50% of base salary, based on achievement of performance targets. In connection with our IPO, we issued to our President and Chief Executive Officer an option to purchase up to 180,469 shares of our Class A common stock, at an exercise price of $15.00 per share, which option vested in three equal annual installments beginning on July 29, 2016. Our President and Chief Executive Officer was also eligible to receive an annual performance bonus in respect of each completed fiscal year with a target value of $825,000 (payable in stock options, restricted stock or restricted stock units or, at our election, in cash).</w:t>
      </w:r>
    </w:p>
    <w:p>
      <w:pPr>
        <w:spacing w:after="0" w:line="189"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In 2019, we entered into a new employment agreement with Mr. Holcombe, which provides for a term through December 31, 2020, a base salary of not less than $450,000, and a cash bonus of up to 50% of base salary, based on achievement of performance targets. Our President and Chief Executive Officer is also eligible to receive an annual equity performance bonus in respect of each completed fiscal year in an amount determined by the Compensation Committee in its sole discretion (payable in stock options, restricted stock or restricted stock units or, at our election, in cash). The performance metrics and goals for the annual cash and equity awards will be determined by our Compensation Committee. Such equity or cash awards will generally vest in three equal installments of 33.33% on each anniversary of the date of grant, subject to acceleration of vesting upon certain qualifying terminations on or within the 12-month period following a change-in-control.</w:t>
      </w:r>
    </w:p>
    <w:p>
      <w:pPr>
        <w:spacing w:after="0" w:line="178" w:lineRule="exact"/>
        <w:rPr>
          <w:sz w:val="20"/>
          <w:szCs w:val="20"/>
          <w:color w:val="auto"/>
        </w:rPr>
      </w:pPr>
    </w:p>
    <w:p>
      <w:pPr>
        <w:ind w:right="240" w:firstLine="749"/>
        <w:spacing w:after="0" w:line="273" w:lineRule="auto"/>
        <w:rPr>
          <w:sz w:val="20"/>
          <w:szCs w:val="20"/>
          <w:color w:val="auto"/>
        </w:rPr>
      </w:pPr>
      <w:r>
        <w:rPr>
          <w:rFonts w:ascii="Arial" w:cs="Arial" w:eastAsia="Arial" w:hAnsi="Arial"/>
          <w:sz w:val="17"/>
          <w:szCs w:val="17"/>
          <w:i w:val="1"/>
          <w:iCs w:val="1"/>
          <w:color w:val="auto"/>
        </w:rPr>
        <w:t xml:space="preserve">Employment Agreement with our Chief Financial Officer. </w:t>
      </w:r>
      <w:r>
        <w:rPr>
          <w:rFonts w:ascii="Arial" w:cs="Arial" w:eastAsia="Arial" w:hAnsi="Arial"/>
          <w:sz w:val="17"/>
          <w:szCs w:val="17"/>
          <w:color w:val="auto"/>
        </w:rPr>
        <w:t>In 2015, we entered into an employment agreement with Rudy C. Howard,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which provided for a term through December 31, 2018, a base salary of not less than $325,000, and a target cash bonus of 40% of base salary, based on achievement of performance targets. In connection with our IPO, we issued to our Chief Financial Officer an option to purchase up to 114,844 shares of our Class A common stock, at an exercise price of $15.00 per share, which option vested in three equal annual installments beginning on July 29, 2016. Our Chief Financial Officer was also eligible to receive an annual performance bonus in respect of each completed fiscal year with a target value of $450,000 (payable in stock options, restricted stock or restricted stock units or, at our election, in cash).</w:t>
      </w:r>
    </w:p>
    <w:p>
      <w:pPr>
        <w:spacing w:after="0" w:line="178"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In 2019, we entered into a new employment agreement with Mr. Howard, which provides for a term through December 31, 2020, a base salary of not less than $325,000, and a cash bonus of up to 40% of base salary, based on achievement of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9" w:name="page80"/>
    <w:bookmarkEnd w:id="79"/>
    <w:p>
      <w:pPr>
        <w:ind w:right="260"/>
        <w:spacing w:after="0" w:line="276" w:lineRule="auto"/>
        <w:rPr>
          <w:sz w:val="20"/>
          <w:szCs w:val="20"/>
          <w:color w:val="auto"/>
        </w:rPr>
      </w:pPr>
      <w:r>
        <w:rPr>
          <w:rFonts w:ascii="Arial" w:cs="Arial" w:eastAsia="Arial" w:hAnsi="Arial"/>
          <w:sz w:val="17"/>
          <w:szCs w:val="17"/>
          <w:color w:val="auto"/>
        </w:rPr>
        <w:t>targets. Our Chief Financial Officer is also eligible to receive an annual equity performance bonus in respect of each completed fiscal year in an amount determined by the Compensation Committee in its sole discretion (payable in stock options, restricted stock or restricted stock units or, at our election, in cash). The performance metrics and goals for the annual cash and equity awards will be determined by our Compensation Committee. Such equity or cash awards will generally vest in three equal installments of 33.33% on each anniversary of the date of grant, subject to acceleration of vesting upon certain qualifying terminations on or within the 12-month period following a change-in-control.</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President and Chief Executive Officer and our Chief Financial Officer (each, an “Executive”) will be eligible for other standard employee benefits. If the Executive’s employment is terminated by us without cause or he resigns for “good reason,” then subject to the execution of a release of claims, the Executive shall receive as severance pay:</w:t>
      </w:r>
    </w:p>
    <w:p>
      <w:pPr>
        <w:spacing w:after="0" w:line="73" w:lineRule="exact"/>
        <w:rPr>
          <w:sz w:val="20"/>
          <w:szCs w:val="20"/>
          <w:color w:val="auto"/>
        </w:rPr>
      </w:pPr>
    </w:p>
    <w:p>
      <w:pPr>
        <w:ind w:left="1000" w:hanging="492"/>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12 months base salary payable in installments;</w:t>
      </w:r>
    </w:p>
    <w:p>
      <w:pPr>
        <w:spacing w:after="0" w:line="117" w:lineRule="exact"/>
        <w:rPr>
          <w:rFonts w:ascii="Arial" w:cs="Arial" w:eastAsia="Arial" w:hAnsi="Arial"/>
          <w:sz w:val="18"/>
          <w:szCs w:val="18"/>
          <w:color w:val="auto"/>
        </w:rPr>
      </w:pPr>
    </w:p>
    <w:p>
      <w:pPr>
        <w:ind w:left="1000" w:right="280" w:hanging="492"/>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continuation COBRA coverage for 12 months with the costs of the premiums shared in the same proportion as before the termination on the date of termination (unless this would result in penalty taxes imposed on us);</w:t>
      </w:r>
    </w:p>
    <w:p>
      <w:pPr>
        <w:spacing w:after="0" w:line="62" w:lineRule="exact"/>
        <w:rPr>
          <w:rFonts w:ascii="Arial" w:cs="Arial" w:eastAsia="Arial" w:hAnsi="Arial"/>
          <w:sz w:val="18"/>
          <w:szCs w:val="18"/>
          <w:color w:val="auto"/>
        </w:rPr>
      </w:pPr>
    </w:p>
    <w:p>
      <w:pPr>
        <w:ind w:left="1000" w:right="220" w:hanging="492"/>
        <w:spacing w:after="0" w:line="264"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pro-rata cash bonus for the year of termination based on actual results for the entire year, payable at the time bonuses are paid to active employees (but if such termination is on or within the 12-month period following a change-in-control, then in lieu of the pro rata cash bonus, the Executive shall receive his target cash bonus which shall not be prorated); and</w:t>
      </w:r>
    </w:p>
    <w:p>
      <w:pPr>
        <w:spacing w:after="0" w:line="73" w:lineRule="exact"/>
        <w:rPr>
          <w:rFonts w:ascii="Arial" w:cs="Arial" w:eastAsia="Arial" w:hAnsi="Arial"/>
          <w:sz w:val="18"/>
          <w:szCs w:val="18"/>
          <w:color w:val="auto"/>
        </w:rPr>
      </w:pPr>
    </w:p>
    <w:p>
      <w:pPr>
        <w:ind w:left="1000" w:hanging="492"/>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the cash bonus for the year prior to the year of termination to the extent earned but not yet paid.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Executive will be entitled to all accrued benefits. Treatment of the Executive’s outstanding equity awards will be governed by the terms of the underlying award agreements, but if the Executive’s employment is terminated by us without cause or upon resignation by the Executive with good reason, in each case on or within 12 months following a change-in-control, then the Executive’s outstanding equity awards shall vest in full.</w:t>
      </w:r>
    </w:p>
    <w:p>
      <w:pPr>
        <w:spacing w:after="0" w:line="166"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The employment agreements contain other customary terms and conditions, including a two-year post-employment noncompete, a three-year post-employment non-solicit and other nondisclosure of confidential information, intellectual property and non-disparagement provisions.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Prior to December 31, 2020, the Company and each Executive will discuss whether the term of employment should be extended. If the Company does not renew the term and terminates the Executive’s employment other than for cause, death or disability, then the post-employment noncompetition period shall be reduced from two years to one year and in lieu of the severance listed above, the Executive will receive the greater of (i) six months of base salary in continuing installments and six months of COBRA continuation coverage with the same cost sharing as noted above or (ii) severance and benefits in accordance with Company policy as in effect at the time of termination. If the Company is willing to extend the term of employment and the Executive does not agree, then the executive will not be eligible for severance and the post-employment noncompete period shall not be reduced.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Outstanding Equity Awards as of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outstanding equity awards held by our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929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ind w:left="680"/>
              <w:spacing w:after="0"/>
              <w:rPr>
                <w:sz w:val="20"/>
                <w:szCs w:val="20"/>
                <w:color w:val="auto"/>
              </w:rPr>
            </w:pPr>
            <w:r>
              <w:rPr>
                <w:rFonts w:ascii="Arial" w:cs="Arial" w:eastAsia="Arial" w:hAnsi="Arial"/>
                <w:sz w:val="14"/>
                <w:szCs w:val="14"/>
                <w:b w:val="1"/>
                <w:bCs w:val="1"/>
                <w:color w:val="auto"/>
              </w:rPr>
              <w:t>Option Awards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Vesting</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200" w:type="dxa"/>
            <w:vAlign w:val="bottom"/>
            <w:gridSpan w:val="2"/>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shares of units</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 or units</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of stock that</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of stock that</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have not vested</w:t>
            </w:r>
          </w:p>
        </w:tc>
        <w:tc>
          <w:tcPr>
            <w:tcW w:w="0" w:type="dxa"/>
            <w:vAlign w:val="bottom"/>
          </w:tcPr>
          <w:p>
            <w:pPr>
              <w:spacing w:after="0"/>
              <w:rPr>
                <w:sz w:val="1"/>
                <w:szCs w:val="1"/>
                <w:color w:val="auto"/>
              </w:rPr>
            </w:pPr>
          </w:p>
        </w:tc>
      </w:tr>
      <w:tr>
        <w:trPr>
          <w:trHeight w:val="171"/>
        </w:trPr>
        <w:tc>
          <w:tcPr>
            <w:tcW w:w="3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Exercisable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have not vested</w:t>
            </w:r>
          </w:p>
        </w:tc>
        <w:tc>
          <w:tcPr>
            <w:tcW w:w="100" w:type="dxa"/>
            <w:vAlign w:val="bottom"/>
          </w:tcPr>
          <w:p>
            <w:pPr>
              <w:spacing w:after="0"/>
              <w:rPr>
                <w:sz w:val="14"/>
                <w:szCs w:val="14"/>
                <w:color w:val="auto"/>
              </w:rPr>
            </w:pPr>
          </w:p>
        </w:tc>
        <w:tc>
          <w:tcPr>
            <w:tcW w:w="90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Stephen L. Holcombe</w:t>
            </w: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7/29/2015</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180,469</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7/29/2025</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President and Chief</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Executive Officer</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3/10/2017</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110,073</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55,037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3/10/2027</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3/7/2019</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3/7/2029</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Rudy C. Howard</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7/29/2015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114,844</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7/29/2025</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tcPr>
          <w:p>
            <w:pPr>
              <w:ind w:left="260"/>
              <w:spacing w:after="0"/>
              <w:rPr>
                <w:sz w:val="20"/>
                <w:szCs w:val="20"/>
                <w:color w:val="auto"/>
              </w:rPr>
            </w:pPr>
            <w:r>
              <w:rPr>
                <w:rFonts w:ascii="Arial" w:cs="Arial" w:eastAsia="Arial" w:hAnsi="Arial"/>
                <w:sz w:val="18"/>
                <w:szCs w:val="18"/>
                <w:i w:val="1"/>
                <w:iCs w:val="1"/>
                <w:color w:val="auto"/>
              </w:rPr>
              <w:t>Executive Vice President,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380"/>
              <w:spacing w:after="0"/>
              <w:rPr>
                <w:sz w:val="20"/>
                <w:szCs w:val="20"/>
                <w:color w:val="auto"/>
              </w:rPr>
            </w:pPr>
            <w:r>
              <w:rPr>
                <w:rFonts w:ascii="Arial" w:cs="Arial" w:eastAsia="Arial" w:hAnsi="Arial"/>
                <w:sz w:val="18"/>
                <w:szCs w:val="18"/>
                <w:i w:val="1"/>
                <w:iCs w:val="1"/>
                <w:color w:val="auto"/>
              </w:rPr>
              <w:t>Chief Financial Officer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3/10/2017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70,047</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35,023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3/10/2027</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3/7/2019</w:t>
            </w: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3/7/2029</w:t>
            </w:r>
          </w:p>
        </w:tc>
        <w:tc>
          <w:tcPr>
            <w:tcW w:w="1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Jeffrey B. Kindler</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7/29/2015</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28,121</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7/29/2025</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Chairman of the Board of</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Directors</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3/10/2017</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Chairman of the Board of</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11/29/2019</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3/7/2029</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Directors</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00" w:right="400" w:hanging="492"/>
        <w:spacing w:after="0" w:line="312"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awards of stock options and stock awards to each of Messrs. Holcombe, Howard and Kindler listed in the above table each vest in three equal installments upon the anniversary of their grant date. In each case, this vesting schedule assumes continued employment or services with us and is subject to accelerated vesting upon the occurrence of certain qualifying termination of employment or services, as applicable.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80" w:firstLine="509"/>
        <w:spacing w:after="0" w:line="308" w:lineRule="auto"/>
        <w:rPr>
          <w:sz w:val="20"/>
          <w:szCs w:val="20"/>
          <w:color w:val="auto"/>
        </w:rPr>
      </w:pPr>
      <w:r>
        <w:rPr>
          <w:rFonts w:ascii="Arial" w:cs="Arial" w:eastAsia="Arial" w:hAnsi="Arial"/>
          <w:sz w:val="17"/>
          <w:szCs w:val="17"/>
          <w:color w:val="auto"/>
        </w:rPr>
        <w:t>In 2016, our Board of Directors established the following compensation program for our non-employee directors, other than Messrs. Cohen and Savas and no changes were made in 2019, other than for the compensation to be paid to Mr. Kindler in his role as Chairman of the Board of Directors:</w:t>
      </w:r>
    </w:p>
    <w:p>
      <w:pPr>
        <w:spacing w:after="0" w:line="38" w:lineRule="exact"/>
        <w:rPr>
          <w:sz w:val="20"/>
          <w:szCs w:val="20"/>
          <w:color w:val="auto"/>
        </w:rPr>
      </w:pPr>
    </w:p>
    <w:p>
      <w:pPr>
        <w:ind w:left="1000" w:right="200" w:hanging="492"/>
        <w:spacing w:after="0" w:line="286" w:lineRule="auto"/>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upon election and/or re-election at each annual meeting of stockholders, an award of 15,000 options to acquire our Class A common stock (or the equivalent value thereof in restricted stock, restricted stock units or cash). The options or other equity or equity-based compensation will generally vest in monthly installments over the three-year period commencing with the grant date;</w:t>
      </w:r>
    </w:p>
    <w:p>
      <w:pPr>
        <w:spacing w:after="0" w:line="57" w:lineRule="exact"/>
        <w:rPr>
          <w:rFonts w:ascii="Arial" w:cs="Arial" w:eastAsia="Arial" w:hAnsi="Arial"/>
          <w:sz w:val="17"/>
          <w:szCs w:val="17"/>
          <w:color w:val="auto"/>
        </w:rPr>
      </w:pPr>
    </w:p>
    <w:p>
      <w:pPr>
        <w:ind w:left="1000" w:hanging="492"/>
        <w:spacing w:after="0"/>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annual cash retainer of $70,000 for the chairman of the board, with no additional fees paid for board and committee meetings attended;</w:t>
      </w:r>
    </w:p>
    <w:p>
      <w:pPr>
        <w:spacing w:after="0" w:line="128" w:lineRule="exact"/>
        <w:rPr>
          <w:rFonts w:ascii="Arial" w:cs="Arial" w:eastAsia="Arial" w:hAnsi="Arial"/>
          <w:sz w:val="17"/>
          <w:szCs w:val="17"/>
          <w:color w:val="auto"/>
        </w:rPr>
      </w:pPr>
    </w:p>
    <w:p>
      <w:pPr>
        <w:ind w:left="1000" w:hanging="492"/>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annual cash retainer of $35,000 for all other directors, with no additional fees paid for board and committee meetings attended;</w:t>
      </w:r>
    </w:p>
    <w:p>
      <w:pPr>
        <w:spacing w:after="0" w:line="117" w:lineRule="exact"/>
        <w:rPr>
          <w:rFonts w:ascii="Arial" w:cs="Arial" w:eastAsia="Arial" w:hAnsi="Arial"/>
          <w:sz w:val="18"/>
          <w:szCs w:val="18"/>
          <w:color w:val="auto"/>
        </w:rPr>
      </w:pPr>
    </w:p>
    <w:p>
      <w:pPr>
        <w:ind w:left="1000" w:right="160" w:hanging="492"/>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annual cash retainer of $15,000 for the chair of the Audit Committee, $10,000 for the chair of the Compensation Committee and $7,500 for the chair of the Nominating and Corporate Governance Committee; and</w:t>
      </w:r>
    </w:p>
    <w:p>
      <w:pPr>
        <w:spacing w:after="0" w:line="62" w:lineRule="exact"/>
        <w:rPr>
          <w:rFonts w:ascii="Arial" w:cs="Arial" w:eastAsia="Arial" w:hAnsi="Arial"/>
          <w:sz w:val="18"/>
          <w:szCs w:val="18"/>
          <w:color w:val="auto"/>
        </w:rPr>
      </w:pPr>
    </w:p>
    <w:p>
      <w:pPr>
        <w:ind w:left="1000" w:right="260" w:hanging="492"/>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annual cash retainer of $7,500 for members of the Audit Committee, $5,000 for members of the Compensation Committee and $3,750 for members of the Nominating and Corporate Governance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1" w:name="page82"/>
    <w:bookmarkEnd w:id="81"/>
    <w:p>
      <w:pPr>
        <w:ind w:left="520"/>
        <w:spacing w:after="0"/>
        <w:rPr>
          <w:sz w:val="20"/>
          <w:szCs w:val="20"/>
          <w:color w:val="auto"/>
        </w:rPr>
      </w:pPr>
      <w:r>
        <w:rPr>
          <w:rFonts w:ascii="Arial" w:cs="Arial" w:eastAsia="Arial" w:hAnsi="Arial"/>
          <w:sz w:val="18"/>
          <w:szCs w:val="18"/>
          <w:color w:val="auto"/>
        </w:rPr>
        <w:t>In addition, all directors will be reimbursed for out-of-pocket expenses incurred in connection with their services.</w:t>
      </w:r>
    </w:p>
    <w:p>
      <w:pPr>
        <w:spacing w:after="0" w:line="225" w:lineRule="exact"/>
        <w:rPr>
          <w:sz w:val="20"/>
          <w:szCs w:val="20"/>
          <w:color w:val="auto"/>
        </w:rPr>
      </w:pPr>
    </w:p>
    <w:p>
      <w:pPr>
        <w:ind w:right="220" w:firstLine="509"/>
        <w:spacing w:after="0" w:line="264" w:lineRule="auto"/>
        <w:rPr>
          <w:sz w:val="20"/>
          <w:szCs w:val="20"/>
          <w:color w:val="auto"/>
        </w:rPr>
      </w:pPr>
      <w:r>
        <w:rPr>
          <w:rFonts w:ascii="Arial" w:cs="Arial" w:eastAsia="Arial" w:hAnsi="Arial"/>
          <w:sz w:val="18"/>
          <w:szCs w:val="18"/>
          <w:color w:val="auto"/>
        </w:rPr>
        <w:t>The following table sets forth the total compensation paid to each of our directors for the fiscal year ended December 31, 2019. Mr. Kindler was a named executive officer of the Company until his resignation as Executive Chairman in November 2019 and his compensation is set forth in the “Summary Compensation Table” and not in this Director Compensation section.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00" w:type="dxa"/>
            <w:vAlign w:val="bottom"/>
            <w:tcBorders>
              <w:top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Fees Earned or</w:t>
            </w:r>
          </w:p>
        </w:tc>
        <w:tc>
          <w:tcPr>
            <w:tcW w:w="14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Option</w:t>
            </w:r>
          </w:p>
        </w:tc>
        <w:tc>
          <w:tcPr>
            <w:tcW w:w="320" w:type="dxa"/>
            <w:vAlign w:val="bottom"/>
          </w:tcPr>
          <w:p>
            <w:pPr>
              <w:spacing w:after="0"/>
              <w:rPr>
                <w:sz w:val="13"/>
                <w:szCs w:val="13"/>
                <w:color w:val="auto"/>
              </w:rPr>
            </w:pPr>
          </w:p>
        </w:tc>
        <w:tc>
          <w:tcPr>
            <w:tcW w:w="12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 xml:space="preserve">Awards </w:t>
            </w:r>
            <w:r>
              <w:rPr>
                <w:rFonts w:ascii="Arial" w:cs="Arial" w:eastAsia="Arial" w:hAnsi="Arial"/>
                <w:sz w:val="12"/>
                <w:szCs w:val="12"/>
                <w:b w:val="1"/>
                <w:bCs w:val="1"/>
                <w:color w:val="auto"/>
                <w:w w:val="95"/>
              </w:rPr>
              <w:t>(1)</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(1)</w:t>
            </w:r>
          </w:p>
        </w:tc>
        <w:tc>
          <w:tcPr>
            <w:tcW w:w="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3800" w:type="dxa"/>
            <w:vAlign w:val="bottom"/>
            <w:gridSpan w:val="3"/>
          </w:tcPr>
          <w:p>
            <w:pPr>
              <w:jc w:val="center"/>
              <w:ind w:left="2553"/>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16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Steven M. Cohen </w:t>
            </w:r>
            <w:r>
              <w:rPr>
                <w:rFonts w:ascii="Arial" w:cs="Arial" w:eastAsia="Arial" w:hAnsi="Arial"/>
                <w:sz w:val="15"/>
                <w:szCs w:val="15"/>
                <w:color w:val="auto"/>
              </w:rPr>
              <w:t>(2)</w:t>
            </w:r>
          </w:p>
        </w:tc>
        <w:tc>
          <w:tcPr>
            <w:tcW w:w="25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John A. Fry</w:t>
            </w:r>
          </w:p>
        </w:tc>
        <w:tc>
          <w:tcPr>
            <w:tcW w:w="3800" w:type="dxa"/>
            <w:vAlign w:val="bottom"/>
            <w:gridSpan w:val="3"/>
          </w:tcPr>
          <w:p>
            <w:pPr>
              <w:jc w:val="right"/>
              <w:spacing w:after="0"/>
              <w:rPr>
                <w:sz w:val="20"/>
                <w:szCs w:val="20"/>
                <w:color w:val="auto"/>
              </w:rPr>
            </w:pPr>
            <w:r>
              <w:rPr>
                <w:rFonts w:ascii="Arial" w:cs="Arial" w:eastAsia="Arial" w:hAnsi="Arial"/>
                <w:sz w:val="18"/>
                <w:szCs w:val="18"/>
                <w:color w:val="auto"/>
              </w:rPr>
              <w:t>42,500</w:t>
            </w:r>
          </w:p>
        </w:tc>
        <w:tc>
          <w:tcPr>
            <w:tcW w:w="260" w:type="dxa"/>
            <w:vAlign w:val="bottom"/>
          </w:tcPr>
          <w:p>
            <w:pPr>
              <w:spacing w:after="0"/>
              <w:rPr>
                <w:sz w:val="19"/>
                <w:szCs w:val="19"/>
                <w:color w:val="auto"/>
              </w:rPr>
            </w:pP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18,571</w:t>
            </w: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c>
          <w:tcPr>
            <w:tcW w:w="1160" w:type="dxa"/>
            <w:vAlign w:val="bottom"/>
          </w:tcPr>
          <w:p>
            <w:pPr>
              <w:jc w:val="right"/>
              <w:spacing w:after="0"/>
              <w:rPr>
                <w:sz w:val="20"/>
                <w:szCs w:val="20"/>
                <w:color w:val="auto"/>
              </w:rPr>
            </w:pPr>
            <w:r>
              <w:rPr>
                <w:rFonts w:ascii="Arial" w:cs="Arial" w:eastAsia="Arial" w:hAnsi="Arial"/>
                <w:sz w:val="18"/>
                <w:szCs w:val="18"/>
                <w:color w:val="auto"/>
              </w:rPr>
              <w:t>61,071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Hersh Kozlov</w:t>
            </w:r>
          </w:p>
        </w:tc>
        <w:tc>
          <w:tcPr>
            <w:tcW w:w="3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10,577</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 xml:space="preserve">Craig C. Parker </w:t>
            </w:r>
            <w:r>
              <w:rPr>
                <w:rFonts w:ascii="Arial" w:cs="Arial" w:eastAsia="Arial" w:hAnsi="Arial"/>
                <w:sz w:val="15"/>
                <w:szCs w:val="15"/>
                <w:color w:val="auto"/>
              </w:rPr>
              <w:t>(4)</w:t>
            </w:r>
          </w:p>
        </w:tc>
        <w:tc>
          <w:tcPr>
            <w:tcW w:w="3800" w:type="dxa"/>
            <w:vAlign w:val="bottom"/>
            <w:gridSpan w:val="3"/>
          </w:tcPr>
          <w:p>
            <w:pPr>
              <w:jc w:val="right"/>
              <w:spacing w:after="0"/>
              <w:rPr>
                <w:sz w:val="20"/>
                <w:szCs w:val="20"/>
                <w:color w:val="auto"/>
              </w:rPr>
            </w:pPr>
            <w:r>
              <w:rPr>
                <w:rFonts w:ascii="Arial" w:cs="Arial" w:eastAsia="Arial" w:hAnsi="Arial"/>
                <w:sz w:val="18"/>
                <w:szCs w:val="18"/>
                <w:color w:val="auto"/>
              </w:rPr>
              <w:t>23,125</w:t>
            </w:r>
          </w:p>
        </w:tc>
        <w:tc>
          <w:tcPr>
            <w:tcW w:w="260" w:type="dxa"/>
            <w:vAlign w:val="bottom"/>
          </w:tcPr>
          <w:p>
            <w:pPr>
              <w:spacing w:after="0"/>
              <w:rPr>
                <w:sz w:val="19"/>
                <w:szCs w:val="19"/>
                <w:color w:val="auto"/>
              </w:rPr>
            </w:pP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Paul G. Savas</w:t>
            </w:r>
          </w:p>
        </w:tc>
        <w:tc>
          <w:tcPr>
            <w:tcW w:w="2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Noel J. Spiegel</w:t>
            </w:r>
          </w:p>
        </w:tc>
        <w:tc>
          <w:tcPr>
            <w:tcW w:w="3800" w:type="dxa"/>
            <w:vAlign w:val="bottom"/>
            <w:gridSpan w:val="3"/>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9"/>
                <w:szCs w:val="19"/>
                <w:color w:val="auto"/>
              </w:rPr>
            </w:pP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18,571</w:t>
            </w: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c>
          <w:tcPr>
            <w:tcW w:w="1160" w:type="dxa"/>
            <w:vAlign w:val="bottom"/>
          </w:tcPr>
          <w:p>
            <w:pPr>
              <w:jc w:val="right"/>
              <w:spacing w:after="0"/>
              <w:rPr>
                <w:sz w:val="20"/>
                <w:szCs w:val="20"/>
                <w:color w:val="auto"/>
              </w:rPr>
            </w:pPr>
            <w:r>
              <w:rPr>
                <w:rFonts w:ascii="Arial" w:cs="Arial" w:eastAsia="Arial" w:hAnsi="Arial"/>
                <w:sz w:val="18"/>
                <w:szCs w:val="18"/>
                <w:color w:val="auto"/>
              </w:rPr>
              <w:t>68,571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Howard L. Weiner</w:t>
            </w:r>
          </w:p>
        </w:tc>
        <w:tc>
          <w:tcPr>
            <w:tcW w:w="3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40,024</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18,571</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right="280" w:hanging="492"/>
        <w:spacing w:after="0" w:line="212" w:lineRule="auto"/>
        <w:tabs>
          <w:tab w:leader="none" w:pos="50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The amounts reported in the table above represents the aggregate grant date fair value of the award, computed in accordance with FASB ASC Topic 718. Assumptions used in the calculation of these amounts are included in Note 4 of the consolidated financial statements included in this Annual Report on Form 10-K.</w:t>
      </w:r>
    </w:p>
    <w:p>
      <w:pPr>
        <w:spacing w:after="0" w:line="2" w:lineRule="exact"/>
        <w:rPr>
          <w:rFonts w:ascii="Arial" w:cs="Arial" w:eastAsia="Arial" w:hAnsi="Arial"/>
          <w:sz w:val="29"/>
          <w:szCs w:val="29"/>
          <w:color w:val="auto"/>
          <w:vertAlign w:val="superscript"/>
        </w:rPr>
      </w:pPr>
    </w:p>
    <w:p>
      <w:pPr>
        <w:ind w:left="500" w:hanging="492"/>
        <w:spacing w:after="0" w:line="184" w:lineRule="auto"/>
        <w:tabs>
          <w:tab w:leader="none" w:pos="50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Mr. Cohen resigned from our Board of Directors effective September 11, 2019.</w:t>
      </w:r>
    </w:p>
    <w:p>
      <w:pPr>
        <w:spacing w:after="0" w:line="43" w:lineRule="exact"/>
        <w:rPr>
          <w:rFonts w:ascii="Arial" w:cs="Arial" w:eastAsia="Arial" w:hAnsi="Arial"/>
          <w:sz w:val="29"/>
          <w:szCs w:val="29"/>
          <w:color w:val="auto"/>
          <w:vertAlign w:val="superscript"/>
        </w:rPr>
      </w:pPr>
    </w:p>
    <w:p>
      <w:pPr>
        <w:ind w:left="500" w:right="40" w:hanging="492"/>
        <w:spacing w:after="0" w:line="232" w:lineRule="auto"/>
        <w:tabs>
          <w:tab w:leader="none" w:pos="500" w:val="left"/>
        </w:tabs>
        <w:numPr>
          <w:ilvl w:val="0"/>
          <w:numId w:val="61"/>
        </w:numPr>
        <w:rPr>
          <w:rFonts w:ascii="Arial" w:cs="Arial" w:eastAsia="Arial" w:hAnsi="Arial"/>
          <w:sz w:val="26"/>
          <w:szCs w:val="26"/>
          <w:color w:val="auto"/>
          <w:vertAlign w:val="superscript"/>
        </w:rPr>
      </w:pPr>
      <w:r>
        <w:rPr>
          <w:rFonts w:ascii="Arial" w:cs="Arial" w:eastAsia="Arial" w:hAnsi="Arial"/>
          <w:sz w:val="16"/>
          <w:szCs w:val="16"/>
          <w:color w:val="auto"/>
        </w:rPr>
        <w:t>On April 29, 2019, upon their re-election at our 2019 Annual Meeting, Messrs. Fry, Spiegel and Weiner were each awarded an option to purchase up to 15,000 shares of our Class A common stock with an exercise price of $1.45 per share, which award is scheduled to vest in 36 equal monthly installments beginning on April 29, 2019, subject to the continued service of Messrs. Fry, Spiegel and Weiner on our Board of Directors, as applicable.</w:t>
      </w:r>
    </w:p>
    <w:p>
      <w:pPr>
        <w:spacing w:after="0" w:line="28" w:lineRule="exact"/>
        <w:rPr>
          <w:rFonts w:ascii="Arial" w:cs="Arial" w:eastAsia="Arial" w:hAnsi="Arial"/>
          <w:sz w:val="26"/>
          <w:szCs w:val="26"/>
          <w:color w:val="auto"/>
          <w:vertAlign w:val="superscript"/>
        </w:rPr>
      </w:pPr>
    </w:p>
    <w:p>
      <w:pPr>
        <w:ind w:left="500" w:right="200" w:hanging="492"/>
        <w:spacing w:after="0" w:line="198" w:lineRule="auto"/>
        <w:tabs>
          <w:tab w:leader="none" w:pos="50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Mr. Parker did not stand for re-election to the Board of Directors at our 2019 Annual Meeting and was no longer a member of our Board of Directors effective April 29,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option awards for our non-employee directors as of December 31, 2019 are as follows: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9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Grant Date</w:t>
            </w: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Options</w:t>
            </w: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Options</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Exercisable</w:t>
            </w: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Unexercisable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A. Fry</w:t>
            </w:r>
          </w:p>
        </w:tc>
        <w:tc>
          <w:tcPr>
            <w:tcW w:w="1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5/12/2016</w:t>
            </w:r>
          </w:p>
        </w:tc>
        <w:tc>
          <w:tcPr>
            <w:tcW w:w="1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3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64,303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5/1/2017</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13,750</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4/30/2018</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9,167</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5,833</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4/29/2019</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10,833</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Noel J. Spiegel</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7/29/2015</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263,647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5/12/2016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55,136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5/1/2017</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13,750</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4/30/2018</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9,167</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5,833</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21,050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4/29/2019</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4,167</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10,833</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18,571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Howard L. Weiner</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4/30/2018</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17,136</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9,114</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4/29/2019</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10,833</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2080" w:type="dxa"/>
            <w:vAlign w:val="bottom"/>
            <w:gridSpan w:val="3"/>
          </w:tcPr>
          <w:p>
            <w:pPr>
              <w:jc w:val="right"/>
              <w:ind w:right="80"/>
              <w:spacing w:after="0"/>
              <w:rPr>
                <w:sz w:val="20"/>
                <w:szCs w:val="20"/>
                <w:color w:val="auto"/>
              </w:rPr>
            </w:pPr>
            <w:r>
              <w:rPr>
                <w:rFonts w:ascii="Arial" w:cs="Arial" w:eastAsia="Arial" w:hAnsi="Arial"/>
                <w:sz w:val="18"/>
                <w:szCs w:val="18"/>
                <w:color w:val="auto"/>
              </w:rPr>
              <w:t>82</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During 2019, our Compensation Committee consisted of Messrs. Savas (Chair) and Cohen, until Mr. Cohen’s resignation from the board in September 2019. Following the appointment of Mr. John A. Fry to the Compensation Committee in February 2020, our Compensation Committee consisted of Messrs. Savas (Chair) and Mr. Fry. None of our executive officers serves as a member of the Board of Directors or Compensation Committee (or other committee performing equivalent functions) of another entity that has one or more executive officers serving on our Board of Directors or Compensation Committee. No interlocking relationship exists between any member of the Board of Directors or any member of the Compensation Committee (or other committee performing equivalent functions) of any other company.</w:t>
      </w:r>
    </w:p>
    <w:p>
      <w:pPr>
        <w:spacing w:after="0" w:line="297" w:lineRule="exact"/>
        <w:rPr>
          <w:sz w:val="20"/>
          <w:szCs w:val="20"/>
          <w:color w:val="auto"/>
        </w:rPr>
      </w:pPr>
    </w:p>
    <w:p>
      <w:pPr>
        <w:ind w:left="1020" w:right="520" w:hanging="1012"/>
        <w:spacing w:after="0" w:line="282" w:lineRule="auto"/>
        <w:tabs>
          <w:tab w:leader="none" w:pos="10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360" w:firstLine="448"/>
        <w:spacing w:after="0" w:line="277" w:lineRule="auto"/>
        <w:rPr>
          <w:sz w:val="20"/>
          <w:szCs w:val="20"/>
          <w:color w:val="auto"/>
        </w:rPr>
      </w:pPr>
      <w:r>
        <w:rPr>
          <w:rFonts w:ascii="Arial" w:cs="Arial" w:eastAsia="Arial" w:hAnsi="Arial"/>
          <w:sz w:val="18"/>
          <w:szCs w:val="18"/>
          <w:color w:val="auto"/>
        </w:rPr>
        <w:t>The following table sets forth certain information regarding the beneficial ownership of our Class A Common Stock as of February 20, 2020 unless otherwise noted below for the following:</w:t>
      </w:r>
    </w:p>
    <w:p>
      <w:pPr>
        <w:spacing w:after="0" w:line="62" w:lineRule="exact"/>
        <w:rPr>
          <w:sz w:val="20"/>
          <w:szCs w:val="20"/>
          <w:color w:val="auto"/>
        </w:rPr>
      </w:pPr>
    </w:p>
    <w:p>
      <w:pPr>
        <w:ind w:left="1000" w:hanging="492"/>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or group of affiliated persons, who we know to beneficially own more than 5% of our Class A Common Stock;</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number of shares of Class A Common Stock outstanding and the percentage of beneficial ownership are based on the number of shares of Class B Common Stock and nonvoting common units of vTv Therapeutics LLC (“vTv Units”) outstanding and after giving effect to the exchange of all outstanding shares of Class B Common Stock (together with the corresponding vTv Units) into shares of Class A Common Stock. Pursuant to the Exchange Agreement, vTv Units may, subject to the terms of the Exchange Agreement and the vTv Therapeutics LLC Amended and Restated Limited Liability Company Agreement, be exchanged at any time (along with a corresponding number of shares of our Class B Common Stock) with vTv Therapeutics LLC for shares of our Class A Common Stock on a one-for-one basis, or for cash, at our option (as the managing member of vTv Therapeutics LLC). See “Certain Relationships and Related Party Transactions—Exchange Agreement.”</w:t>
      </w:r>
    </w:p>
    <w:p>
      <w:pPr>
        <w:spacing w:after="0" w:line="189"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Common stock subject to options exercisable on or within 60 days after February 20, 2020 are deemed outstanding for the purpose of computing the percentage ownership of the person holding those options, but are not deemed outstanding for computing the percentage ownership of any other person. Unless otherwise indicated, the address for each listed stockholder is c/o vTv Therapeutics Inc., 3980 Premier Drive, Suite 310, High Point, North Carolina 27265.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Shares</w:t>
            </w: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2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Owned</w:t>
            </w: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23"/>
        </w:trPr>
        <w:tc>
          <w:tcPr>
            <w:tcW w:w="6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Jeffrey B. Kindler (1)</w:t>
            </w:r>
          </w:p>
        </w:tc>
        <w:tc>
          <w:tcPr>
            <w:tcW w:w="22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74,787</w:t>
            </w:r>
          </w:p>
        </w:tc>
        <w:tc>
          <w:tcPr>
            <w:tcW w:w="340" w:type="dxa"/>
            <w:vAlign w:val="bottom"/>
            <w:tcBorders>
              <w:top w:val="single" w:sz="8" w:color="CFF0FC"/>
            </w:tcBorders>
            <w:shd w:val="clear" w:color="auto" w:fill="CFF0FC"/>
          </w:tcPr>
          <w:p>
            <w:pPr>
              <w:spacing w:after="0"/>
              <w:rPr>
                <w:sz w:val="19"/>
                <w:szCs w:val="19"/>
                <w:color w:val="auto"/>
              </w:rPr>
            </w:pPr>
          </w:p>
        </w:tc>
        <w:tc>
          <w:tcPr>
            <w:tcW w:w="2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Stephen L. Holcombe (2)</w:t>
            </w:r>
          </w:p>
        </w:tc>
        <w:tc>
          <w:tcPr>
            <w:tcW w:w="2000" w:type="dxa"/>
            <w:vAlign w:val="bottom"/>
          </w:tcPr>
          <w:p>
            <w:pPr>
              <w:jc w:val="right"/>
              <w:spacing w:after="0"/>
              <w:rPr>
                <w:sz w:val="20"/>
                <w:szCs w:val="20"/>
                <w:color w:val="auto"/>
              </w:rPr>
            </w:pPr>
            <w:r>
              <w:rPr>
                <w:rFonts w:ascii="Arial" w:cs="Arial" w:eastAsia="Arial" w:hAnsi="Arial"/>
                <w:sz w:val="18"/>
                <w:szCs w:val="18"/>
                <w:color w:val="auto"/>
              </w:rPr>
              <w:t>412,246</w:t>
            </w:r>
          </w:p>
        </w:tc>
        <w:tc>
          <w:tcPr>
            <w:tcW w:w="3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Rudy C. Howard (3)</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266,581</w:t>
            </w:r>
          </w:p>
        </w:tc>
        <w:tc>
          <w:tcPr>
            <w:tcW w:w="340" w:type="dxa"/>
            <w:vAlign w:val="bottom"/>
            <w:shd w:val="clear" w:color="auto" w:fill="CFF0FC"/>
          </w:tcPr>
          <w:p>
            <w:pPr>
              <w:spacing w:after="0"/>
              <w:rPr>
                <w:sz w:val="19"/>
                <w:szCs w:val="19"/>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John A. Fry (4)</w:t>
            </w:r>
          </w:p>
        </w:tc>
        <w:tc>
          <w:tcPr>
            <w:tcW w:w="2000" w:type="dxa"/>
            <w:vAlign w:val="bottom"/>
          </w:tcPr>
          <w:p>
            <w:pPr>
              <w:jc w:val="right"/>
              <w:spacing w:after="0"/>
              <w:rPr>
                <w:sz w:val="20"/>
                <w:szCs w:val="20"/>
                <w:color w:val="auto"/>
              </w:rPr>
            </w:pPr>
            <w:r>
              <w:rPr>
                <w:rFonts w:ascii="Arial" w:cs="Arial" w:eastAsia="Arial" w:hAnsi="Arial"/>
                <w:sz w:val="18"/>
                <w:szCs w:val="18"/>
                <w:color w:val="auto"/>
              </w:rPr>
              <w:t>46,249</w:t>
            </w:r>
          </w:p>
        </w:tc>
        <w:tc>
          <w:tcPr>
            <w:tcW w:w="3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Hersh Kozlov</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FF0FC"/>
          </w:tcPr>
          <w:p>
            <w:pPr>
              <w:spacing w:after="0"/>
              <w:rPr>
                <w:sz w:val="19"/>
                <w:szCs w:val="19"/>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Paul G. Savas (5)</w:t>
            </w:r>
          </w:p>
        </w:tc>
        <w:tc>
          <w:tcPr>
            <w:tcW w:w="2000" w:type="dxa"/>
            <w:vAlign w:val="bottom"/>
          </w:tcPr>
          <w:p>
            <w:pPr>
              <w:jc w:val="right"/>
              <w:spacing w:after="0"/>
              <w:rPr>
                <w:sz w:val="20"/>
                <w:szCs w:val="20"/>
                <w:color w:val="auto"/>
              </w:rPr>
            </w:pPr>
            <w:r>
              <w:rPr>
                <w:rFonts w:ascii="Arial" w:cs="Arial" w:eastAsia="Arial" w:hAnsi="Arial"/>
                <w:sz w:val="18"/>
                <w:szCs w:val="18"/>
                <w:color w:val="auto"/>
              </w:rPr>
              <w:t>91,781</w:t>
            </w:r>
          </w:p>
        </w:tc>
        <w:tc>
          <w:tcPr>
            <w:tcW w:w="3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Noel J. Spiegel (6)</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74,749</w:t>
            </w:r>
          </w:p>
        </w:tc>
        <w:tc>
          <w:tcPr>
            <w:tcW w:w="340" w:type="dxa"/>
            <w:vAlign w:val="bottom"/>
            <w:shd w:val="clear" w:color="auto" w:fill="CFF0FC"/>
          </w:tcPr>
          <w:p>
            <w:pPr>
              <w:spacing w:after="0"/>
              <w:rPr>
                <w:sz w:val="19"/>
                <w:szCs w:val="19"/>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Howard L. Weiner (7)</w:t>
            </w:r>
          </w:p>
        </w:tc>
        <w:tc>
          <w:tcPr>
            <w:tcW w:w="2000" w:type="dxa"/>
            <w:vAlign w:val="bottom"/>
          </w:tcPr>
          <w:p>
            <w:pPr>
              <w:jc w:val="right"/>
              <w:spacing w:after="0"/>
              <w:rPr>
                <w:sz w:val="20"/>
                <w:szCs w:val="20"/>
                <w:color w:val="auto"/>
              </w:rPr>
            </w:pPr>
            <w:r>
              <w:rPr>
                <w:rFonts w:ascii="Arial" w:cs="Arial" w:eastAsia="Arial" w:hAnsi="Arial"/>
                <w:sz w:val="18"/>
                <w:szCs w:val="18"/>
                <w:color w:val="auto"/>
              </w:rPr>
              <w:t>22,370</w:t>
            </w:r>
          </w:p>
        </w:tc>
        <w:tc>
          <w:tcPr>
            <w:tcW w:w="3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directors and executive officers as a group (8 individuals)</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993,763</w:t>
            </w:r>
          </w:p>
        </w:tc>
        <w:tc>
          <w:tcPr>
            <w:tcW w:w="340" w:type="dxa"/>
            <w:vAlign w:val="bottom"/>
            <w:shd w:val="clear" w:color="auto" w:fill="CFF0FC"/>
          </w:tcPr>
          <w:p>
            <w:pPr>
              <w:spacing w:after="0"/>
              <w:rPr>
                <w:sz w:val="19"/>
                <w:szCs w:val="19"/>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5% or Greater Stockholders:</w:t>
            </w: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Ronald O. Perelman (5)(8)</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61,514,396</w:t>
            </w:r>
          </w:p>
        </w:tc>
        <w:tc>
          <w:tcPr>
            <w:tcW w:w="340" w:type="dxa"/>
            <w:vAlign w:val="bottom"/>
            <w:shd w:val="clear" w:color="auto" w:fill="CFF0FC"/>
          </w:tcPr>
          <w:p>
            <w:pPr>
              <w:spacing w:after="0"/>
              <w:rPr>
                <w:sz w:val="19"/>
                <w:szCs w:val="19"/>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Less than 0.1%.</w:t>
      </w:r>
    </w:p>
    <w:p>
      <w:pPr>
        <w:spacing w:after="0" w:line="23" w:lineRule="exact"/>
        <w:rPr>
          <w:sz w:val="20"/>
          <w:szCs w:val="20"/>
          <w:color w:val="auto"/>
        </w:rPr>
      </w:pPr>
    </w:p>
    <w:p>
      <w:pPr>
        <w:ind w:left="500" w:right="560" w:hanging="492"/>
        <w:spacing w:after="0" w:line="261"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options and restricted stock units to purchase up to 51,454 shares of our Class A Common Stock that are vested and exercisable or will become vested and exercisable within 60 days of February 20,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ind w:left="500" w:right="40" w:hanging="492"/>
        <w:spacing w:after="0" w:line="258"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options to purchase up to 412,246 shares of our Class A Common Stock that are vested and exercisable or will become vested and exercisable within 60 days of February 20, 2020.</w:t>
      </w:r>
    </w:p>
    <w:p>
      <w:pPr>
        <w:spacing w:after="0" w:line="1"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options to purchase up to 261,581 shares of our Class A Common Stock that are vested and exercisable or will become vested and exercisable within 60 days of February 20, 2020.</w:t>
      </w:r>
    </w:p>
    <w:p>
      <w:pPr>
        <w:ind w:left="500" w:right="140" w:hanging="492"/>
        <w:spacing w:after="0" w:line="250"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options to purchase up to 46,249 shares of our Class A Common Stock that are vested and exercisable or will become vested and exercisable within 60 days of February 20, 2020.</w:t>
      </w: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Address is c/o MacAndrews &amp; Forbes Incorporated, 35 East 62nd Street, New York, NY 10065.</w:t>
      </w:r>
    </w:p>
    <w:p>
      <w:pPr>
        <w:spacing w:after="0" w:line="9"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options to purchase up to 68,749 shares of our Class A Common Stock that are vested and exercisable or will become vested and exercisable within 60 days of February 20, 2020.</w:t>
      </w:r>
    </w:p>
    <w:p>
      <w:pPr>
        <w:ind w:left="500" w:right="140" w:hanging="492"/>
        <w:spacing w:after="0" w:line="250"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options to purchase up to 22,370 shares of our Class A Common Stock that are vested and exercisable or will become vested and exercisable within 60 days of February 20, 2020.</w:t>
      </w:r>
    </w:p>
    <w:p>
      <w:pPr>
        <w:ind w:left="500" w:right="40" w:hanging="492"/>
        <w:spacing w:after="0" w:line="290"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solely on the Schedule 13D/A (Amendment No. 36) filed by MacAndrews &amp; Forbes Incorporated with the SEC on January 28, 2020. Consists of: (a) 32,856,212 shares of our Class A Common Stock held beneficially by MacAndrews &amp; Forbes Group LLC (“M&amp;F Group”), (b) 23,084,267 shares of our Class B Common Stock that are held directly by M&amp;F Group, (c) 1,823,917 shares of Class A Common Stock issuable to M&amp;F Group upon exercise of Common Stock Purchase Warrants held by M&amp;F Group, and (d) 3,750,000 shares of Class A Common Stock issuable to M&amp;F Group at the option of M&amp;F Group pursuant to a commitment letter, dated December 23, 2019. The number of shares reported above includes 49,713 shares of Class B Common Stock and corresponding vTv Units that may be deemed to be directly beneficially owned by the Ronald O. Perelman Trust.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Information about our equity compensation plans is incorporated herein by reference to the section entitled “Securities authorized for issuance under equity compensation plans” in Item 5 of Part II of this Annual Report on Form 10-K.</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229"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Other than compensation arrangements for our named executive officers and directors, we describe below each transaction or series of similar transactions, since January 1, 2019, to which we were a party or will be a party, in which:</w:t>
      </w:r>
    </w:p>
    <w:p>
      <w:pPr>
        <w:spacing w:after="0" w:line="62" w:lineRule="exact"/>
        <w:rPr>
          <w:sz w:val="20"/>
          <w:szCs w:val="20"/>
          <w:color w:val="auto"/>
        </w:rPr>
      </w:pPr>
    </w:p>
    <w:p>
      <w:pPr>
        <w:ind w:left="1000" w:hanging="492"/>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1000" w:right="20" w:hanging="492"/>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70" w:lineRule="exact"/>
        <w:rPr>
          <w:sz w:val="20"/>
          <w:szCs w:val="20"/>
          <w:color w:val="auto"/>
        </w:rPr>
      </w:pPr>
    </w:p>
    <w:p>
      <w:pPr>
        <w:ind w:right="860" w:firstLine="509"/>
        <w:spacing w:after="0" w:line="277" w:lineRule="auto"/>
        <w:rPr>
          <w:sz w:val="20"/>
          <w:szCs w:val="20"/>
          <w:color w:val="auto"/>
        </w:rPr>
      </w:pPr>
      <w:r>
        <w:rPr>
          <w:rFonts w:ascii="Arial" w:cs="Arial" w:eastAsia="Arial" w:hAnsi="Arial"/>
          <w:sz w:val="18"/>
          <w:szCs w:val="18"/>
          <w:color w:val="auto"/>
        </w:rPr>
        <w:t>Compensation arrangements for our named executive officers and directors are described in the sections entitled “</w:t>
      </w:r>
      <w:r>
        <w:rPr>
          <w:rFonts w:ascii="Arial" w:cs="Arial" w:eastAsia="Arial" w:hAnsi="Arial"/>
          <w:sz w:val="18"/>
          <w:szCs w:val="18"/>
          <w:i w:val="1"/>
          <w:iCs w:val="1"/>
          <w:color w:val="auto"/>
        </w:rPr>
        <w:t>Executive Compensation-Employment and Services Agreements</w:t>
      </w:r>
      <w:r>
        <w:rPr>
          <w:rFonts w:ascii="Arial" w:cs="Arial" w:eastAsia="Arial" w:hAnsi="Arial"/>
          <w:sz w:val="18"/>
          <w:szCs w:val="18"/>
          <w:color w:val="auto"/>
        </w:rPr>
        <w:t>” and “</w:t>
      </w:r>
      <w:r>
        <w:rPr>
          <w:rFonts w:ascii="Arial" w:cs="Arial" w:eastAsia="Arial" w:hAnsi="Arial"/>
          <w:sz w:val="18"/>
          <w:szCs w:val="18"/>
          <w:i w:val="1"/>
          <w:iCs w:val="1"/>
          <w:color w:val="auto"/>
        </w:rPr>
        <w:t>Director Compensation</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17" w:lineRule="exact"/>
        <w:rPr>
          <w:sz w:val="20"/>
          <w:szCs w:val="20"/>
          <w:color w:val="auto"/>
        </w:rPr>
      </w:pPr>
    </w:p>
    <w:p>
      <w:pPr>
        <w:ind w:right="320" w:firstLine="509"/>
        <w:spacing w:after="0" w:line="264" w:lineRule="auto"/>
        <w:rPr>
          <w:sz w:val="20"/>
          <w:szCs w:val="20"/>
          <w:color w:val="auto"/>
        </w:rPr>
      </w:pPr>
      <w:r>
        <w:rPr>
          <w:rFonts w:ascii="Arial" w:cs="Arial" w:eastAsia="Arial" w:hAnsi="Arial"/>
          <w:sz w:val="18"/>
          <w:szCs w:val="18"/>
          <w:color w:val="auto"/>
        </w:rPr>
        <w:t>We have adopted a written Related Person Transaction Policy, which sets forth our policy with respect to the review, approval, ratification and disclosure of all related person transactions by our Audit Committee. In accordance with our Related Person Transaction Policy, our Audit Committee has overall responsibility for the implementation and compliance with this policy.</w:t>
      </w:r>
    </w:p>
    <w:p>
      <w:pPr>
        <w:spacing w:after="0" w:line="181" w:lineRule="exact"/>
        <w:rPr>
          <w:sz w:val="20"/>
          <w:szCs w:val="20"/>
          <w:color w:val="auto"/>
        </w:rPr>
      </w:pPr>
    </w:p>
    <w:p>
      <w:pPr>
        <w:ind w:right="80" w:firstLine="509"/>
        <w:spacing w:after="0" w:line="276" w:lineRule="auto"/>
        <w:rPr>
          <w:sz w:val="20"/>
          <w:szCs w:val="20"/>
          <w:color w:val="auto"/>
        </w:rPr>
      </w:pPr>
      <w:r>
        <w:rPr>
          <w:rFonts w:ascii="Arial" w:cs="Arial" w:eastAsia="Arial" w:hAnsi="Arial"/>
          <w:sz w:val="17"/>
          <w:szCs w:val="17"/>
          <w:color w:val="auto"/>
        </w:rPr>
        <w:t>For the purposes of our Related Person Transaction Policy, a “related person transaction” is a transaction, arrangement or relationship (or any series of similar transactions, arrangements or relationships) in which we were, are or will be a participant and in which any related person (as defined in our Related Person Transaction Policy) had, has or will have a direct or indirect material interest, in excess of $120,000. A “related person transaction” does not include any employment relationship or transaction involving an executive officer and any related compensation resulting solely from that employment relationship which has been reviewed and approved by our Board of Directors or Compensation Committee.</w:t>
      </w:r>
    </w:p>
    <w:p>
      <w:pPr>
        <w:spacing w:after="0" w:line="17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Related Person Transaction Policy requires that notice of a proposed related person transaction be provided to our legal department or our Chief Financial Officer prior to entering into such transaction. If our legal department determines that such transaction is a related person transaction, the proposed transaction will be submitted to our Audit Committee for consideration at its next meeting. Under our Related Person Transaction Policy, only our Audit Committee will be permitted to approve those related person transactions that are in, or not inconsistent with, our best interests. In the event we become aware of a related person transaction that has not been previously reviewed, approved or ratified under our Related Person Transaction Policy and that is ongoing or is completed, the transaction will be submitted to our Audit Committee so that it may determine whether to ratify, rescind or terminate the related person transaction.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jc w:val="both"/>
        <w:ind w:right="440" w:firstLine="509"/>
        <w:spacing w:after="0" w:line="342" w:lineRule="auto"/>
        <w:rPr>
          <w:sz w:val="20"/>
          <w:szCs w:val="20"/>
          <w:color w:val="auto"/>
        </w:rPr>
      </w:pPr>
      <w:r>
        <w:rPr>
          <w:rFonts w:ascii="Arial" w:cs="Arial" w:eastAsia="Arial" w:hAnsi="Arial"/>
          <w:sz w:val="16"/>
          <w:szCs w:val="16"/>
          <w:color w:val="auto"/>
        </w:rPr>
        <w:t>Our Related Person Transaction Policy also provides that our Audit Committee will review certain previously approved or ratified related person transactions that are ongoing to determine whether the related person transaction remains in our best interests and the best interests of our stockholders.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connection with the IPO, we, vTv Therapeutics LLC and vTv Therapeutics Holdings LLC (“Holdings”), and other existing and future holders of the vTv Units (and corresponding shares of Class B Common Stock) entered into an exchange agreement (the “Exchange Agreement”) under which, from time to time, the holders (or certain transferees thereof) have the right to exchange their vTv Units (along with a corresponding number of our Class B Common Stock) for (i) shares of our Class A Common Stock on a one-for-one basis or (ii) cash (based on the market price of the shares of Class A common stock), at our option, subject to customary conversion rate adjustments for stock splits, stock dividends and reclassifications. Any decision to require an exchange for cash rather than shares of Class A Common Stock will ultimately be determined by our Board of Directors.</w:t>
      </w:r>
    </w:p>
    <w:p>
      <w:pPr>
        <w:spacing w:after="0" w:line="178"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On October 5, 2015, Holdings was dissolved and made a liquidating distribution of shares of Class B Common Stock and the corresponding vTv Units to its members. As a result of the dissolution, M&amp;F TTP Holdings LLC became the successor to Holdings under the Exchange Agreement, Investor Rights Agreement and the Tax Receivable Agreement pursuant to the terms of each respective agreement, and various other holders of Class B Common Stock became parties to the Exchange Agreement. On December 28, 2015, M&amp;F TTP Holdings LLC contributed its shares of Class B Common Stock and the corresponding vTv Units to its subsidiary, M&amp;F, which became the successor to M&amp;F TTP Holdings LLC under the Exchange Agreement, Investor Rights Agreement and Tax Receivable Agreement pursuant to the terms of each respective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As further described above, our Class B Common Stock, together with the corresponding number of vTv Units, may be exchanged for shares of our Class A Common Stock, or for cash, at our option. These future exchanges of Class B Common Stock, together with the corresponding number of vTv Units, may result in increases in the tax basis of the assets of vTv Therapeutics LLC that otherwise would not have been available. Such increases in tax basis are likely to increase (for tax purposes) depreciation and amortization deductions and therefore reduce the amount of income tax we would otherwise be required to pay in the future and may also decrease gain (or increase loss) on future dispositions of certain assets to the extent the increased tax basis is allocated to those assets. The IRS may challenge all or part of these tax basis increases and a court could sustain such a challenge.</w:t>
      </w:r>
    </w:p>
    <w:p>
      <w:pPr>
        <w:spacing w:after="0" w:line="165"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In connection with our IPO, we entered into a Tax Receivable Agreement with M&amp;F, as successor in interest to Holdings, and M&amp;F TTP Holdings LLC that provides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make to M&amp;F could be substantial.</w:t>
      </w:r>
    </w:p>
    <w:p>
      <w:pPr>
        <w:spacing w:after="0" w:line="182"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M&amp;F generally will not reimburse us for any payments that previously have been made under the Tax Receivable Agreement even if the IRS subsequently disallows the tax basis increase or any other relevant tax item. Instead, any excess cash payments made by us to M&amp;F will be netted against any future cash payments that we might otherwise be required to make under the terms of the Tax Receivable Agreement. However, we might not determine that we have effectively made an excess cash payment to M&amp;F for a number of years following the initial time of such payment. As a result, in certain circumstances we could make payments to M&amp;F under the Tax Receivable Agreement in excess of our cash tax savings. Our ability to achieve benefits from any tax basis increase and the payments to be made under the Tax Receivable Agreement, will depend upon a number of factors, including the timing and amount of our future income and the nature of our assets.</w:t>
      </w:r>
    </w:p>
    <w:p>
      <w:pPr>
        <w:spacing w:after="0" w:line="189"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To the extent that we are unable to make payments under the Tax Receivable Agreement for any reason, such payments will be deferred and will accrue interest until paid. In addition, the Tax Receivable Agreement provides that, upon a merger, asset sale or other form of business combination or certain other changes of control or if, at any time, we elect an early termination of the Tax Receivable Agreement, our (or our successor’s) obligations with respect to exchanged or acquired Class B common stock, together with the corresponding number of vTv Units (whether exchanged or acquired before or after such change of control or early termination) would be required to be paid significantly in advance of the actual realization, if any, of any future tax benefits and would be based on certain assumptions, including that we would have sufficient taxable income to fully utilize the deductions arising from the increased tax deductions and tax basis and other benefits related to entering into the Tax Receivable Agreement, and, in the case of certain early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5" w:name="page86"/>
    <w:bookmarkEnd w:id="85"/>
    <w:p>
      <w:pPr>
        <w:jc w:val="both"/>
        <w:ind w:right="140"/>
        <w:spacing w:after="0" w:line="264" w:lineRule="auto"/>
        <w:rPr>
          <w:sz w:val="20"/>
          <w:szCs w:val="20"/>
          <w:color w:val="auto"/>
        </w:rPr>
      </w:pPr>
      <w:r>
        <w:rPr>
          <w:rFonts w:ascii="Arial" w:cs="Arial" w:eastAsia="Arial" w:hAnsi="Arial"/>
          <w:sz w:val="18"/>
          <w:szCs w:val="18"/>
          <w:color w:val="auto"/>
        </w:rPr>
        <w:t>termination elections, that any Class B Common Stock, together with the corresponding number of vTv Units, that have not been exchanged will be deemed exchanged for the market value of the Class A common stock at the time of termination. Consequently, it is possible that the actual cash tax savings realized by us will be significantly less than the corresponding Tax Receivable Agreement payments.</w:t>
      </w:r>
    </w:p>
    <w:p>
      <w:pPr>
        <w:spacing w:after="0" w:line="18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are a holding company, and we have no material assets other than our ownership of vTv Units, and we have no independent means of generating revenue or cash flow. We intend, as its managing member, to cause vTv Therapeutics LLC to make distributions in an amount sufficient to allow us to pay our operating expenses, including any payments due under the Tax Receivable Agreement. However, vTv Therapeutics LLC’s ability to make such distributions may be subject to various limitations and restrictions including, but not limited to, restrictions on distributions that would either violate any contract or agreement to which vTv Therapeutics LLC is then a party, including potential debt agreements, or any applicable law, or that would have the effect of rendering vTv Therapeutics LLC insolvent. If vTv Therapeutics LLC does not distribute sufficient funds for us to pay our operating expenses, including any payments due under the Tax Receivable Agreement, we may have to borrow funds, which could materially adversely affect our liquidity and subject us to various restrictions imposed by any such lenders. To the extent that we are unable to make payments under the Tax Receivable Agreement for any reason, such payments will be deferred and will accrue interest until paid.</w:t>
      </w:r>
    </w:p>
    <w:p>
      <w:pPr>
        <w:spacing w:after="0" w:line="18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Our organizational structure, including the fact that M&amp;F owns more than 50% of the voting power of our voting stock and owns part of its economic interest in our business through vTv Therapeutics LLC, confers certain benefits upon M&amp;F that will not benefit the holders of our Class A Common Stock to the same extent as it will benefit M&amp;F. Although we will retain 15% of the amount of the tax benefits described above, it is possible that the interests of M&amp;F may in some circumstances conflict with our interests and the interests of our other stockholders. For example, M&amp;F may have different tax positions from us, especially in light of the Tax Receivable Agreement, that could influence their decisions regarding whether and when we should dispose of assets, whether and when we should incur new or refinance existing indebtedness, and whether and when we should terminate the Tax Receivable Agreement and accelerate our obligations thereunder. In addition, the determination of future tax reporting positions, the structuring of future transactions and the handling of any future challenges by any taxing authority to our tax reporting positions may take into consideration M&amp;F’s tax or other considerations, which may differ from the considerations of us or our other stockholders. To the extent that M&amp;F is dissolved or liquidated, MacAndrews and/or its affiliates will succeed to the rights and obligations of M&amp;F under the Tax Receivable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17" w:lineRule="exact"/>
        <w:rPr>
          <w:sz w:val="20"/>
          <w:szCs w:val="20"/>
          <w:color w:val="auto"/>
        </w:rPr>
      </w:pPr>
    </w:p>
    <w:p>
      <w:pPr>
        <w:ind w:right="400" w:firstLine="509"/>
        <w:spacing w:after="0" w:line="264" w:lineRule="auto"/>
        <w:rPr>
          <w:sz w:val="20"/>
          <w:szCs w:val="20"/>
          <w:color w:val="auto"/>
        </w:rPr>
      </w:pPr>
      <w:r>
        <w:rPr>
          <w:rFonts w:ascii="Arial" w:cs="Arial" w:eastAsia="Arial" w:hAnsi="Arial"/>
          <w:sz w:val="18"/>
          <w:szCs w:val="18"/>
          <w:color w:val="auto"/>
        </w:rPr>
        <w:t>In connection with our IPO, we entered into an Investor Rights Agreement with M&amp;F, as successor in interest to Holdings. The Investor Rights Agreement provides M&amp;F with certain demand, shelf and piggyback registration rights with respect to its shares of our common stock and also provides M&amp;F with certain governance rights, depending on the size of its holdings of our common stock.</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registration rights provisions of the Investor Rights Agreement:</w:t>
      </w:r>
    </w:p>
    <w:p>
      <w:pPr>
        <w:spacing w:after="0" w:line="117" w:lineRule="exact"/>
        <w:rPr>
          <w:sz w:val="20"/>
          <w:szCs w:val="20"/>
          <w:color w:val="auto"/>
        </w:rPr>
      </w:pPr>
    </w:p>
    <w:p>
      <w:pPr>
        <w:ind w:left="1000" w:right="720" w:hanging="492"/>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M&amp;F and its affiliates have the right to cause us to conduct an unlimited number of demand registrations, subject to certain customary restrictions;</w:t>
      </w:r>
    </w:p>
    <w:p>
      <w:pPr>
        <w:spacing w:after="0" w:line="62" w:lineRule="exact"/>
        <w:rPr>
          <w:rFonts w:ascii="Arial" w:cs="Arial" w:eastAsia="Arial" w:hAnsi="Arial"/>
          <w:sz w:val="18"/>
          <w:szCs w:val="18"/>
          <w:color w:val="auto"/>
        </w:rPr>
      </w:pPr>
    </w:p>
    <w:p>
      <w:pPr>
        <w:ind w:left="1000" w:right="180" w:hanging="492"/>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once we are eligible to do so, M&amp;F and its affiliates have the right to cause us to file and have declared effective a shelf registration statement on Form S-3 with respect to all of their shares of our common stock; and</w:t>
      </w:r>
    </w:p>
    <w:p>
      <w:pPr>
        <w:spacing w:after="0" w:line="62" w:lineRule="exact"/>
        <w:rPr>
          <w:rFonts w:ascii="Arial" w:cs="Arial" w:eastAsia="Arial" w:hAnsi="Arial"/>
          <w:sz w:val="18"/>
          <w:szCs w:val="18"/>
          <w:color w:val="auto"/>
        </w:rPr>
      </w:pPr>
    </w:p>
    <w:p>
      <w:pPr>
        <w:ind w:left="1000" w:hanging="492"/>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M&amp;F and its affiliates have the right to participate in certain registered offerings by us.</w:t>
      </w:r>
    </w:p>
    <w:p>
      <w:pPr>
        <w:spacing w:after="0" w:line="225" w:lineRule="exact"/>
        <w:rPr>
          <w:sz w:val="20"/>
          <w:szCs w:val="20"/>
          <w:color w:val="auto"/>
        </w:rPr>
      </w:pPr>
    </w:p>
    <w:p>
      <w:pPr>
        <w:ind w:right="80" w:firstLine="509"/>
        <w:spacing w:after="0" w:line="276" w:lineRule="auto"/>
        <w:rPr>
          <w:sz w:val="20"/>
          <w:szCs w:val="20"/>
          <w:color w:val="auto"/>
        </w:rPr>
      </w:pPr>
      <w:r>
        <w:rPr>
          <w:rFonts w:ascii="Arial" w:cs="Arial" w:eastAsia="Arial" w:hAnsi="Arial"/>
          <w:sz w:val="17"/>
          <w:szCs w:val="17"/>
          <w:color w:val="auto"/>
        </w:rPr>
        <w:t>The registration rights provisions also contain customary provisions relating to cooperation with the registration process, black-out periods and customary securities law indemnity provisions in favor of the selling stockholders. With certain customary exceptions, we will be required to bear all registration expenses, other than underwriting discounts and commissions and transfer taxes, associated with any registration of shares pursuant to the agreement. Registration rights may be transferred by M&amp;F and its affiliates, subject to certain restrictions. No predetermined penalties or liquidated damages will be payable by us if we fail to comply with the registration rights provisions of the Investor Rights Agreement.</w:t>
      </w:r>
    </w:p>
    <w:p>
      <w:pPr>
        <w:spacing w:after="0" w:line="6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Investor Rights Agreement also provides that M&amp;F, subject to applicable corporate governance rules of the SEC and the NASDAQ Stock Market listing rules (which may require M&amp;F to designate independent directors), has the right to designate: (i) a majority of the directors (and if the number of directors is even, one director more than 50% of the number of directors) if it beneficially owns more than 50% of our outstanding common stock, (ii) one less than a majority of the directors if it beneficially owns more than 25% but 50% or less of our outstanding common stock, and (iii) one-third of the directors (rounded down to the nearest whole number) if it beneficially owns more than 10% but 25% or less of our outstanding common stock. M&amp;F loses the right to designate directors once it owns 10% or less of our outstanding common stock. So long as M&amp;F beneficially owns 25% or more of our outstanding common stock, it will have the right, subject to applicable corporate governance rules of the SEC and the NASDAQ Stock Market listing rules, to designate the members of the committees of our Board of Directors. The Investor Rights Agreement will terminate when MacAndrews (which indirectly controls approximately 83.5% of our outstanding common stock as of December 31, 2019) and its permitted transferees hold less than 2.5% of our outstanding common stock. To the extent that M&amp;F is dissolved or liquidated, MacAndrews and/or its affiliates will succeed to M&amp;F rights and obligations under the Investor Rights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Letter Agreements</w:t>
      </w:r>
    </w:p>
    <w:p>
      <w:pPr>
        <w:spacing w:after="0" w:line="117" w:lineRule="exact"/>
        <w:rPr>
          <w:sz w:val="20"/>
          <w:szCs w:val="20"/>
          <w:color w:val="auto"/>
        </w:rPr>
      </w:pPr>
    </w:p>
    <w:p>
      <w:pPr>
        <w:ind w:right="60" w:firstLine="468"/>
        <w:spacing w:after="0" w:line="257" w:lineRule="auto"/>
        <w:rPr>
          <w:sz w:val="20"/>
          <w:szCs w:val="20"/>
          <w:color w:val="auto"/>
        </w:rPr>
      </w:pPr>
      <w:r>
        <w:rPr>
          <w:rFonts w:ascii="Arial" w:cs="Arial" w:eastAsia="Arial" w:hAnsi="Arial"/>
          <w:sz w:val="18"/>
          <w:szCs w:val="18"/>
          <w:color w:val="auto"/>
        </w:rPr>
        <w:t>The Company has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80" w:lineRule="exact"/>
        <w:rPr>
          <w:sz w:val="20"/>
          <w:szCs w:val="20"/>
          <w:color w:val="auto"/>
        </w:rPr>
      </w:pPr>
    </w:p>
    <w:p>
      <w:pPr>
        <w:ind w:right="240" w:firstLine="468"/>
        <w:spacing w:after="0" w:line="277" w:lineRule="auto"/>
        <w:rPr>
          <w:sz w:val="20"/>
          <w:szCs w:val="20"/>
          <w:color w:val="auto"/>
        </w:rPr>
      </w:pPr>
      <w:r>
        <w:rPr>
          <w:rFonts w:ascii="Arial" w:cs="Arial" w:eastAsia="Arial" w:hAnsi="Arial"/>
          <w:sz w:val="18"/>
          <w:szCs w:val="18"/>
          <w:color w:val="auto"/>
        </w:rPr>
        <w:t>Certain terms of these Letter Agreements are set forth in the tables included in “Management’s Discussion and Analysis of Financial Conditions and Results of Operations – Liquidity and Capital Resources” in Item 7 of this Annual Report on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We have entered into customary indemnification agreements with our executive officers and directors that provide, in general, that we will provide them with customary indemnification in connection with their service to us or on our behalf.</w:t>
      </w:r>
    </w:p>
    <w:p>
      <w:pPr>
        <w:spacing w:after="0" w:line="17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These indemnification agreements require us, among other things, to indemnify our directors and officers against liabilities that may arise by reason of their status or service as directors or officers, other than liabilities arising from willful misconduct. These indemnification agreements also require us to advance any expenses incurred by the directors or officers as a result of any proceeding against them as to which they could be indemnified and to obtain directors’ and officers’ insurance, if available on reasonable terms.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Our Board of Directors has established an Audit Committee, Compensation Committee and Nominating and Corporate Governance Committee. Our Audit Committee currently consists of directors Messrs. Spiegel (Chair), Fry and Weiner. Our Compensation Committee consists of Messrs. Savas (Chair) and Fry. Our Nominating and Corporate Governance Committee currently consists of Mr. Kindler. The Audit Committee, Compensation Committee and Nominating and Corporate Governance Committee were established in July 2015 in connection with our IPO.</w:t>
      </w:r>
    </w:p>
    <w:p>
      <w:pPr>
        <w:spacing w:after="0" w:line="171" w:lineRule="exact"/>
        <w:rPr>
          <w:sz w:val="20"/>
          <w:szCs w:val="20"/>
          <w:color w:val="auto"/>
        </w:rPr>
      </w:pPr>
    </w:p>
    <w:p>
      <w:pPr>
        <w:jc w:val="both"/>
        <w:ind w:right="340" w:firstLine="509"/>
        <w:spacing w:after="0" w:line="264" w:lineRule="auto"/>
        <w:rPr>
          <w:sz w:val="20"/>
          <w:szCs w:val="20"/>
          <w:color w:val="auto"/>
        </w:rPr>
      </w:pPr>
      <w:r>
        <w:rPr>
          <w:rFonts w:ascii="Arial" w:cs="Arial" w:eastAsia="Arial" w:hAnsi="Arial"/>
          <w:sz w:val="18"/>
          <w:szCs w:val="18"/>
          <w:color w:val="auto"/>
        </w:rPr>
        <w:t>Our Board of Directors has undertaken a review of the independence of our directors and has determined that Messrs. Fry, Spiegel and Weiner are independent within the meaning of the NASDAQ Stock Market listing rules and meet the additional test for independence for Audit Committee members imposed by SEC regulation and the NASDAQ Stock Market listing rules.</w:t>
      </w:r>
    </w:p>
    <w:p>
      <w:pPr>
        <w:spacing w:after="0" w:line="181"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We are a “controlled company” as set forth in NASDAQ Stock Market listing rules because more than 50% of the voting power of our common stock is held by MacAndrews. Under the NASDAQ Stock Market listing rules, a controlled company is exempt from the NASDAQ Stock Market corporate governance requirements that a majority of the Board of Directors consist of independent directors and that directors’ nominations and executive compensation must be approved by a majority of independent directors or a nominating and corporate governance committee or compensation committee composed solely of independent directors. We will rely on some of these exemptions from the corporate governance requirements until we are no longer a controlled company or the Board of Directors determines to no longer rely on these exemptions.</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Fees</w:t>
      </w:r>
    </w:p>
    <w:p>
      <w:pPr>
        <w:spacing w:after="0" w:line="12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Audit Committee has adopted a policy for the pre-approval of all audit and permitted non-audit services that may be performed by our independent registered public accounting firm. Under the policy, the Audit Committee must give prior approval for any amount or type of service within four categories—audit, audit-related, tax services or, to the extent permitted by law, other services—that the independent auditor provides. Prior to the annual engagement, the Audit Committee may grant general pre-approval for independent auditor services within these four categories. During the year, circumstances may arise when it may become necessary to engage the independent auditor for additional services not contemplated in the original pre-approval and, in those instances, such service will require separate pre-approval by the Audit Committee if it is to be provided by the independent auditor. For any pre-approval, the Audit Committee will consider whether such services are consistent with the SEC’s rules on auditor independence, whether the auditor is best-positioned to provide the most cost-effective and efficient service and whether the service might enhance our ability to manage or control risk or improve audit quality. The Audit Committee may delegate to one or more of its members authority to approve a request for pre-approval, provided the member reports any approval so given to the Audit Committee at its next scheduled meeting. All fees incurred subsequent to our IPO were pre-approved by the Audit Committee.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7" w:name="page88"/>
    <w:bookmarkEnd w:id="87"/>
    <w:p>
      <w:pPr>
        <w:ind w:right="260" w:firstLine="509"/>
        <w:spacing w:after="0" w:line="277" w:lineRule="auto"/>
        <w:rPr>
          <w:sz w:val="20"/>
          <w:szCs w:val="20"/>
          <w:color w:val="auto"/>
        </w:rPr>
      </w:pPr>
      <w:r>
        <w:rPr>
          <w:rFonts w:ascii="Arial" w:cs="Arial" w:eastAsia="Arial" w:hAnsi="Arial"/>
          <w:sz w:val="18"/>
          <w:szCs w:val="18"/>
          <w:color w:val="auto"/>
        </w:rPr>
        <w:t>The following table summarizes the aggregate fees billed for professional services rendered by EY to us in 2018 and 2019. A description of these various fees and services follows the table.</w:t>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Audit Fees</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452,113</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383,838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Audit-Related Fees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All Other Fees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20"/>
                <w:szCs w:val="20"/>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ind w:right="240" w:firstLine="509"/>
        <w:spacing w:after="0" w:line="291" w:lineRule="auto"/>
        <w:rPr>
          <w:sz w:val="20"/>
          <w:szCs w:val="20"/>
          <w:color w:val="auto"/>
        </w:rPr>
      </w:pPr>
      <w:r>
        <w:rPr>
          <w:rFonts w:ascii="Arial" w:cs="Arial" w:eastAsia="Arial" w:hAnsi="Arial"/>
          <w:sz w:val="16"/>
          <w:szCs w:val="16"/>
          <w:color w:val="auto"/>
        </w:rPr>
        <w:t>The aggregate fees billed to us by EY in 2018 and 2019 reflected as audit fees above include fees associated with the annual audit of our financial statements for the years ended December 31, 2018 and 2019 and reviews of our financial statements included in our Quarterly Reports on Form 10-</w:t>
      </w:r>
    </w:p>
    <w:p>
      <w:pPr>
        <w:ind w:firstLine="8"/>
        <w:spacing w:after="0" w:line="261"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Additionally, the audit fees above for both years include work performed with respect to our S-3 Registration Statement filed in 2018 and with respect to an S-3 Registration Statement filed in 2019 to register shares previously issued to MacAndrews under the Letter Agreements.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aggregate fees billed to us by EY in 2018 and 2019 reflected as all other fees above relate to the license of accounting research software.</w:t>
      </w: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920" w:type="dxa"/>
            <w:vAlign w:val="bottom"/>
          </w:tcPr>
          <w:p>
            <w:pPr>
              <w:ind w:left="520"/>
              <w:spacing w:after="0"/>
              <w:rPr>
                <w:sz w:val="20"/>
                <w:szCs w:val="20"/>
                <w:color w:val="auto"/>
              </w:rPr>
            </w:pPr>
            <w:r>
              <w:rPr>
                <w:rFonts w:ascii="Arial" w:cs="Arial" w:eastAsia="Arial" w:hAnsi="Arial"/>
                <w:sz w:val="18"/>
                <w:szCs w:val="18"/>
                <w:color w:val="auto"/>
                <w:w w:val="93"/>
              </w:rPr>
              <w:t>The following documents are included on pages F-1 through F-27 attached hereto and are filed as part of this Annual Report on Form 10-K.</w:t>
            </w:r>
          </w:p>
        </w:tc>
        <w:tc>
          <w:tcPr>
            <w:tcW w:w="400" w:type="dxa"/>
            <w:vAlign w:val="bottom"/>
          </w:tcPr>
          <w:p>
            <w:pPr>
              <w:spacing w:after="0"/>
              <w:rPr>
                <w:sz w:val="20"/>
                <w:szCs w:val="20"/>
                <w:color w:val="auto"/>
              </w:rPr>
            </w:pPr>
          </w:p>
        </w:tc>
      </w:tr>
      <w:tr>
        <w:trPr>
          <w:trHeight w:val="620"/>
        </w:trPr>
        <w:tc>
          <w:tcPr>
            <w:tcW w:w="109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F-2</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Consolidated Balance Sheets as of December 31, 2019 and 2018</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F-3</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2019, 2018 and 2017</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F-4</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w w:val="91"/>
              </w:rPr>
              <w:t>Consolidated Statements of Changes in Redeemable Noncontrolling Interest and Stockholders’ Deficit for the Years Ended December 31, 2019, 2018</w:t>
            </w:r>
          </w:p>
        </w:tc>
        <w:tc>
          <w:tcPr>
            <w:tcW w:w="400" w:type="dxa"/>
            <w:vAlign w:val="bottom"/>
          </w:tcPr>
          <w:p>
            <w:pPr>
              <w:spacing w:after="0"/>
              <w:rPr>
                <w:sz w:val="18"/>
                <w:szCs w:val="18"/>
                <w:color w:val="auto"/>
              </w:rPr>
            </w:pPr>
          </w:p>
        </w:tc>
      </w:tr>
      <w:tr>
        <w:trPr>
          <w:trHeight w:val="216"/>
        </w:trPr>
        <w:tc>
          <w:tcPr>
            <w:tcW w:w="10920" w:type="dxa"/>
            <w:vAlign w:val="bottom"/>
          </w:tcPr>
          <w:p>
            <w:pPr>
              <w:ind w:left="220"/>
              <w:spacing w:after="0"/>
              <w:rPr>
                <w:sz w:val="20"/>
                <w:szCs w:val="20"/>
                <w:color w:val="auto"/>
              </w:rPr>
            </w:pPr>
            <w:r>
              <w:rPr>
                <w:rFonts w:ascii="Arial" w:cs="Arial" w:eastAsia="Arial" w:hAnsi="Arial"/>
                <w:sz w:val="18"/>
                <w:szCs w:val="18"/>
                <w:color w:val="auto"/>
              </w:rPr>
              <w:t>and 2017</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F-5</w:t>
            </w:r>
          </w:p>
        </w:tc>
      </w:tr>
      <w:tr>
        <w:trPr>
          <w:trHeight w:val="216"/>
        </w:trPr>
        <w:tc>
          <w:tcPr>
            <w:tcW w:w="109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F-6</w:t>
            </w:r>
          </w:p>
        </w:tc>
      </w:tr>
      <w:tr>
        <w:trPr>
          <w:trHeight w:val="230"/>
        </w:trPr>
        <w:tc>
          <w:tcPr>
            <w:tcW w:w="109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F-7</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(a)(3) List of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80" w:type="dxa"/>
            <w:vAlign w:val="bottom"/>
            <w:gridSpan w:val="18"/>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480" w:type="dxa"/>
            <w:vAlign w:val="bottom"/>
            <w:gridSpan w:val="1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0000EE"/>
                <w:w w:val="95"/>
              </w:rPr>
            </w:pPr>
            <w:hyperlink r:id="rId112">
              <w:r>
                <w:rPr>
                  <w:rFonts w:ascii="Arial" w:cs="Arial" w:eastAsia="Arial" w:hAnsi="Arial"/>
                  <w:sz w:val="18"/>
                  <w:szCs w:val="18"/>
                  <w:color w:val="0000EE"/>
                  <w:w w:val="95"/>
                </w:rPr>
                <w:t>Amended and Restated Certificate of Incorporation (incorporated by reference from Exhibit 3.1 to the Company’s Form 8-K, filed August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4, 2015 (File No. 001-37524)).</w:t>
              </w:r>
            </w:hyperlink>
          </w:p>
        </w:tc>
        <w:tc>
          <w:tcPr>
            <w:tcW w:w="7900" w:type="dxa"/>
            <w:vAlign w:val="bottom"/>
            <w:tcBorders>
              <w:top w:val="single" w:sz="8" w:color="0000EE"/>
            </w:tcBorders>
            <w:gridSpan w:val="15"/>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Amended and Restated By-laws (incorporated by reference from Exhibit 3.2 to the Company’s Form 8-K, filed August 4, 2015 (File No. 001-</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37524)</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w:t>
              </w:r>
            </w:hyperlink>
          </w:p>
        </w:tc>
        <w:tc>
          <w:tcPr>
            <w:tcW w:w="32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0000EE"/>
                <w:w w:val="98"/>
              </w:rPr>
            </w:pPr>
            <w:hyperlink r:id="rId114">
              <w:r>
                <w:rPr>
                  <w:rFonts w:ascii="Arial" w:cs="Arial" w:eastAsia="Arial" w:hAnsi="Arial"/>
                  <w:sz w:val="18"/>
                  <w:szCs w:val="18"/>
                  <w:color w:val="0000EE"/>
                  <w:w w:val="98"/>
                </w:rPr>
                <w:t>Form of Warrant to Purchase Class A Common Stock (incorporated by reference from Exhibit 4.1 to the Company’s Form 10-K, filed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February 24, 2017 (File No. 001-37524)).</w:t>
              </w:r>
            </w:hyperlink>
          </w:p>
        </w:tc>
        <w:tc>
          <w:tcPr>
            <w:tcW w:w="6620" w:type="dxa"/>
            <w:vAlign w:val="bottom"/>
            <w:tcBorders>
              <w:top w:val="single" w:sz="8" w:color="0000EE"/>
            </w:tcBorders>
            <w:gridSpan w:val="9"/>
          </w:tcPr>
          <w:p>
            <w:pPr>
              <w:spacing w:after="0"/>
              <w:rPr>
                <w:sz w:val="17"/>
                <w:szCs w:val="17"/>
                <w:color w:val="auto"/>
              </w:rPr>
            </w:pPr>
          </w:p>
        </w:tc>
        <w:tc>
          <w:tcPr>
            <w:tcW w:w="7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Common Stock Purchase Warrant (incorporated by reference from Exhibit 4.2 to the Company’s Form 10-K, filed February 27, 2018 (File No.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001-37524)).</w:t>
              </w:r>
            </w:hyperlink>
          </w:p>
        </w:tc>
        <w:tc>
          <w:tcPr>
            <w:tcW w:w="1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21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20">
              <w:r>
                <w:rPr>
                  <w:rFonts w:ascii="Arial" w:cs="Arial" w:eastAsia="Arial" w:hAnsi="Arial"/>
                  <w:sz w:val="18"/>
                  <w:szCs w:val="18"/>
                  <w:color w:val="0000EE"/>
                  <w:w w:val="92"/>
                </w:rPr>
                <w:t>Description of Capital Stock.</w:t>
              </w:r>
            </w:hyperlink>
          </w:p>
        </w:tc>
        <w:tc>
          <w:tcPr>
            <w:tcW w:w="822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9920" w:type="dxa"/>
            <w:vAlign w:val="bottom"/>
            <w:tcBorders>
              <w:bottom w:val="single" w:sz="8" w:color="0000EE"/>
            </w:tcBorders>
            <w:gridSpan w:val="18"/>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Reimbursement of Fees and Expenses Letter Agreement, dated July 16, 2015, by and between vTv Therapeutics Inc. and MacAndrews &amp;</w:t>
              </w:r>
            </w:hyperlink>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Forbes Group, LLC (incorporated by reference from Exhibit 10.6 to Amendment No. 5 to the Company’s Registration Statement on Form S-1,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2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filed July 23, 2015 (File No. 333-204951)).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9920" w:type="dxa"/>
            <w:vAlign w:val="bottom"/>
            <w:tcBorders>
              <w:bottom w:val="single" w:sz="8" w:color="0000EE"/>
            </w:tcBorders>
            <w:gridSpan w:val="18"/>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Reorganization Agreement, dated as of July 29, 2015, among vTv Therapeutics Inc., vTv Therapeutics LLC, vTvx Holdings I LLC, vTvx</w:t>
              </w:r>
            </w:hyperlink>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6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Holdings II LLC and vTv Therapeutics Holdings LLC (incorporated by reference from Exhibit 10.1 to the Company’s Form 8-K, filed August</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27"/>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4, 2015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10280" w:type="dxa"/>
            <w:vAlign w:val="bottom"/>
            <w:tcBorders>
              <w:bottom w:val="single" w:sz="8" w:color="0000EE"/>
            </w:tcBorders>
            <w:gridSpan w:val="24"/>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Amended and Restated Limited Liability Company Agreement of vTv Therapeutics LLC, dated July 29, 2015 (incorporated by reference from</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27"/>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Exhibit 10.2 to the Company’s Form 8-K, filed August 4, 2015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9440" w:type="dxa"/>
            <w:vAlign w:val="bottom"/>
            <w:tcBorders>
              <w:bottom w:val="single" w:sz="8" w:color="0000EE"/>
            </w:tcBorders>
            <w:gridSpan w:val="15"/>
          </w:tcPr>
          <w:p>
            <w:pPr>
              <w:spacing w:after="0"/>
              <w:rPr>
                <w:rFonts w:ascii="Arial" w:cs="Arial" w:eastAsia="Arial" w:hAnsi="Arial"/>
                <w:sz w:val="18"/>
                <w:szCs w:val="18"/>
                <w:color w:val="0000EE"/>
                <w:w w:val="93"/>
              </w:rPr>
            </w:pPr>
            <w:hyperlink r:id="rId119">
              <w:r>
                <w:rPr>
                  <w:rFonts w:ascii="Arial" w:cs="Arial" w:eastAsia="Arial" w:hAnsi="Arial"/>
                  <w:sz w:val="18"/>
                  <w:szCs w:val="18"/>
                  <w:color w:val="0000EE"/>
                  <w:w w:val="93"/>
                </w:rPr>
                <w:t>Investor Rights Agreement, dated as of July 29, 2015, among vTv Therapeutics Inc., vTv Therapeutics Holdings LLC and other</w:t>
              </w:r>
            </w:hyperlink>
          </w:p>
        </w:tc>
        <w:tc>
          <w:tcPr>
            <w:tcW w:w="9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27"/>
          </w:tcPr>
          <w:p>
            <w:pPr>
              <w:spacing w:after="0" w:line="196" w:lineRule="exact"/>
              <w:rPr>
                <w:rFonts w:ascii="Arial" w:cs="Arial" w:eastAsia="Arial" w:hAnsi="Arial"/>
                <w:sz w:val="18"/>
                <w:szCs w:val="18"/>
                <w:color w:val="0000EE"/>
                <w:w w:val="98"/>
              </w:rPr>
            </w:pPr>
            <w:hyperlink r:id="rId119">
              <w:r>
                <w:rPr>
                  <w:rFonts w:ascii="Arial" w:cs="Arial" w:eastAsia="Arial" w:hAnsi="Arial"/>
                  <w:sz w:val="18"/>
                  <w:szCs w:val="18"/>
                  <w:color w:val="0000EE"/>
                  <w:w w:val="98"/>
                </w:rPr>
                <w:t>stockholders party thereto from time to time (incorporated by reference from Exhibit 10.3 to the Company’s Form 8-K, filed August 4,</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2015 (File No. 001-37524)).</w:t>
              </w:r>
            </w:hyperlink>
          </w:p>
        </w:tc>
        <w:tc>
          <w:tcPr>
            <w:tcW w:w="7840" w:type="dxa"/>
            <w:vAlign w:val="bottom"/>
            <w:tcBorders>
              <w:top w:val="single" w:sz="8" w:color="0000EE"/>
            </w:tcBorders>
            <w:gridSpan w:val="16"/>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10100" w:type="dxa"/>
            <w:vAlign w:val="bottom"/>
            <w:tcBorders>
              <w:bottom w:val="single" w:sz="8" w:color="0000EE"/>
            </w:tcBorders>
            <w:gridSpan w:val="20"/>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Exchange Agreement, dated as of July 29, 2015, among vTv Therapeutics LLC, vTv Therapeutics Inc. and vTv Therapeutics Holdings LLC</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5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(incorporated by reference from Exhibit 10.4 to the Company’s Form 8-K, filed August 4, 2015 (File No. 001-37524)).</w:t>
              </w:r>
            </w:hyperlink>
          </w:p>
        </w:tc>
        <w:tc>
          <w:tcPr>
            <w:tcW w:w="17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0000EE"/>
                <w:w w:val="93"/>
              </w:rPr>
            </w:pPr>
            <w:hyperlink r:id="rId121">
              <w:r>
                <w:rPr>
                  <w:rFonts w:ascii="Arial" w:cs="Arial" w:eastAsia="Arial" w:hAnsi="Arial"/>
                  <w:sz w:val="18"/>
                  <w:szCs w:val="18"/>
                  <w:color w:val="0000EE"/>
                  <w:w w:val="93"/>
                </w:rPr>
                <w:t>Tax Receivable Agreement, dated as of July 29, 2015, among vTv Therapeutics Inc. and the other persons named therein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reference from Exhibit 10.5 to the Company’s Form 8-K, filed August 4, 2015 (File No. 001-37524)).</w:t>
              </w:r>
            </w:hyperlink>
          </w:p>
        </w:tc>
        <w:tc>
          <w:tcPr>
            <w:tcW w:w="2600" w:type="dxa"/>
            <w:vAlign w:val="bottom"/>
            <w:tcBorders>
              <w:top w:val="single" w:sz="8" w:color="0000EE"/>
            </w:tcBorders>
            <w:gridSpan w:val="6"/>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9720" w:type="dxa"/>
            <w:vAlign w:val="bottom"/>
            <w:tcBorders>
              <w:bottom w:val="single" w:sz="8" w:color="0000EE"/>
            </w:tcBorders>
            <w:gridSpan w:val="17"/>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Form of Indemnification Agreement (incorporated by reference from Exhibit 10.7 to Amendment No. 4 to the Company’s Registration</w:t>
              </w:r>
            </w:hyperlink>
          </w:p>
        </w:tc>
        <w:tc>
          <w:tcPr>
            <w:tcW w:w="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27"/>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Statement on Form S-1, dated July 23, 2015 (File No. 333-204951)).</w:t>
              </w:r>
            </w:hyperlink>
          </w:p>
        </w:tc>
        <w:tc>
          <w:tcPr>
            <w:tcW w:w="0" w:type="dxa"/>
            <w:vAlign w:val="bottom"/>
          </w:tcPr>
          <w:p>
            <w:pPr>
              <w:spacing w:after="0"/>
              <w:rPr>
                <w:sz w:val="1"/>
                <w:szCs w:val="1"/>
                <w:color w:val="auto"/>
              </w:rPr>
            </w:pPr>
          </w:p>
        </w:tc>
      </w:tr>
      <w:tr>
        <w:trPr>
          <w:trHeight w:val="574"/>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tcBorders>
              <w:top w:val="single" w:sz="8" w:color="0000EE"/>
            </w:tcBorders>
            <w:gridSpan w:val="9"/>
          </w:tcPr>
          <w:p>
            <w:pPr>
              <w:ind w:left="4520"/>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80" w:type="dxa"/>
            <w:vAlign w:val="bottom"/>
            <w:gridSpan w:val="28"/>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3"/>
                <w:szCs w:val="13"/>
                <w:color w:val="auto"/>
              </w:rPr>
            </w:pPr>
          </w:p>
        </w:tc>
        <w:tc>
          <w:tcPr>
            <w:tcW w:w="4860" w:type="dxa"/>
            <w:vAlign w:val="bottom"/>
            <w:gridSpan w:val="9"/>
            <w:vMerge w:val="restart"/>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Executive Chairman Agreement, dated as of July 16, 2015, by and</w:t>
              </w:r>
            </w:hyperlink>
          </w:p>
        </w:tc>
        <w:tc>
          <w:tcPr>
            <w:tcW w:w="5480" w:type="dxa"/>
            <w:vAlign w:val="bottom"/>
            <w:gridSpan w:val="2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860" w:type="dxa"/>
            <w:vAlign w:val="bottom"/>
            <w:gridSpan w:val="9"/>
            <w:vMerge w:val="continue"/>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line="170" w:lineRule="exact"/>
              <w:rPr>
                <w:sz w:val="20"/>
                <w:szCs w:val="20"/>
                <w:color w:val="auto"/>
              </w:rPr>
            </w:pPr>
            <w:r>
              <w:rPr>
                <w:rFonts w:ascii="Arial" w:cs="Arial" w:eastAsia="Arial" w:hAnsi="Arial"/>
                <w:sz w:val="18"/>
                <w:szCs w:val="18"/>
                <w:color w:val="auto"/>
              </w:rPr>
              <w:t>10.8†</w:t>
            </w:r>
          </w:p>
        </w:tc>
        <w:tc>
          <w:tcPr>
            <w:tcW w:w="580" w:type="dxa"/>
            <w:vAlign w:val="bottom"/>
            <w:vMerge w:val="continue"/>
          </w:tcPr>
          <w:p>
            <w:pPr>
              <w:spacing w:after="0"/>
              <w:rPr>
                <w:sz w:val="14"/>
                <w:szCs w:val="14"/>
                <w:color w:val="auto"/>
              </w:rPr>
            </w:pPr>
          </w:p>
        </w:tc>
        <w:tc>
          <w:tcPr>
            <w:tcW w:w="4860" w:type="dxa"/>
            <w:vAlign w:val="bottom"/>
            <w:tcBorders>
              <w:bottom w:val="single" w:sz="8" w:color="0000EE"/>
            </w:tcBorders>
            <w:gridSpan w:val="9"/>
            <w:vMerge w:val="continue"/>
          </w:tcPr>
          <w:p>
            <w:pPr>
              <w:spacing w:after="0"/>
              <w:rPr>
                <w:sz w:val="14"/>
                <w:szCs w:val="14"/>
                <w:color w:val="auto"/>
              </w:rPr>
            </w:pPr>
          </w:p>
        </w:tc>
        <w:tc>
          <w:tcPr>
            <w:tcW w:w="5380" w:type="dxa"/>
            <w:vAlign w:val="bottom"/>
            <w:tcBorders>
              <w:bottom w:val="single" w:sz="8" w:color="0000EE"/>
            </w:tcBorders>
            <w:gridSpan w:val="25"/>
          </w:tcPr>
          <w:p>
            <w:pPr>
              <w:spacing w:after="0" w:line="170"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between vTv Therapeutics Inc. and Jeff Kindler (incorporated by reference</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from Exhibit 10.13 to Amendment No. 4 to the Company’s Registration Statement on Form S-1, filed July 20, 2015 (File No. 333-204951)).</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10.9†</w:t>
            </w:r>
          </w:p>
        </w:tc>
        <w:tc>
          <w:tcPr>
            <w:tcW w:w="10000" w:type="dxa"/>
            <w:vAlign w:val="bottom"/>
            <w:tcBorders>
              <w:bottom w:val="single" w:sz="8" w:color="0000EE"/>
            </w:tcBorders>
            <w:gridSpan w:val="24"/>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Employment Agreement, dated as of July 16, 2015, by and between vTv Therapeutics LLC and Stephen Holcombe, and for certain limited</w:t>
              </w:r>
            </w:hyperlink>
          </w:p>
        </w:tc>
        <w:tc>
          <w:tcPr>
            <w:tcW w:w="3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w w:val="96"/>
              </w:rPr>
            </w:pPr>
            <w:hyperlink r:id="rId126">
              <w:r>
                <w:rPr>
                  <w:rFonts w:ascii="Arial" w:cs="Arial" w:eastAsia="Arial" w:hAnsi="Arial"/>
                  <w:sz w:val="18"/>
                  <w:szCs w:val="18"/>
                  <w:color w:val="0000EE"/>
                  <w:w w:val="96"/>
                </w:rPr>
                <w:t>purposes specified therein, vTv Therapeutics Inc. (incorporated by reference from Exhibit 10.14 to Amendment No. 4 to the Company’s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Registration Statement on Form S-1, filed July 20, 2015 (File No. 333-204951)).</w:t>
              </w:r>
            </w:hyperlink>
          </w:p>
        </w:tc>
        <w:tc>
          <w:tcPr>
            <w:tcW w:w="3980" w:type="dxa"/>
            <w:vAlign w:val="bottom"/>
            <w:tcBorders>
              <w:top w:val="single" w:sz="8" w:color="0000EE"/>
            </w:tcBorders>
            <w:gridSpan w:val="10"/>
          </w:tcPr>
          <w:p>
            <w:pPr>
              <w:spacing w:after="0"/>
              <w:rPr>
                <w:sz w:val="17"/>
                <w:szCs w:val="17"/>
                <w:color w:val="auto"/>
              </w:rPr>
            </w:pPr>
          </w:p>
        </w:tc>
        <w:tc>
          <w:tcPr>
            <w:tcW w:w="5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10.10†</w:t>
            </w:r>
          </w:p>
        </w:tc>
        <w:tc>
          <w:tcPr>
            <w:tcW w:w="9640" w:type="dxa"/>
            <w:vAlign w:val="bottom"/>
            <w:tcBorders>
              <w:bottom w:val="single" w:sz="8" w:color="0000EE"/>
            </w:tcBorders>
            <w:gridSpan w:val="19"/>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Employment Agreement, dated as of July 16, 2015, by and between vTv Therapeutics LLC and Rudy Howard, and for certain limited</w:t>
              </w:r>
            </w:hyperlink>
          </w:p>
        </w:tc>
        <w:tc>
          <w:tcPr>
            <w:tcW w:w="7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w w:val="96"/>
              </w:rPr>
            </w:pPr>
            <w:hyperlink r:id="rId127">
              <w:r>
                <w:rPr>
                  <w:rFonts w:ascii="Arial" w:cs="Arial" w:eastAsia="Arial" w:hAnsi="Arial"/>
                  <w:sz w:val="18"/>
                  <w:szCs w:val="18"/>
                  <w:color w:val="0000EE"/>
                  <w:w w:val="96"/>
                </w:rPr>
                <w:t>purposes specified therein, vTv Therapeutics Inc. (incorporated by reference from Exhibit 10.15 to Amendment No. 4 to the Company’s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Registration Statement on Form S-1, filed July 20, 2015 (File No. 333-204951)).</w:t>
              </w:r>
            </w:hyperlink>
          </w:p>
        </w:tc>
        <w:tc>
          <w:tcPr>
            <w:tcW w:w="3980" w:type="dxa"/>
            <w:vAlign w:val="bottom"/>
            <w:tcBorders>
              <w:top w:val="single" w:sz="8" w:color="0000EE"/>
            </w:tcBorders>
            <w:gridSpan w:val="10"/>
          </w:tcPr>
          <w:p>
            <w:pPr>
              <w:spacing w:after="0"/>
              <w:rPr>
                <w:sz w:val="17"/>
                <w:szCs w:val="17"/>
                <w:color w:val="auto"/>
              </w:rPr>
            </w:pPr>
          </w:p>
        </w:tc>
        <w:tc>
          <w:tcPr>
            <w:tcW w:w="5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10.11†</w:t>
            </w:r>
          </w:p>
        </w:tc>
        <w:tc>
          <w:tcPr>
            <w:tcW w:w="10100" w:type="dxa"/>
            <w:vAlign w:val="bottom"/>
            <w:tcBorders>
              <w:bottom w:val="single" w:sz="8" w:color="0000EE"/>
            </w:tcBorders>
            <w:gridSpan w:val="29"/>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vTv Therapeutics Inc. 2015 Omnibus Equity Incentive Plan (incorporated by reference from Exhibit 10.6 to the Company’s Form 8-K, filed</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August 4, 2015 (File No. 001-37524)).</w:t>
              </w:r>
            </w:hyperlink>
          </w:p>
        </w:tc>
        <w:tc>
          <w:tcPr>
            <w:tcW w:w="75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10.12†</w:t>
            </w:r>
          </w:p>
        </w:tc>
        <w:tc>
          <w:tcPr>
            <w:tcW w:w="10160" w:type="dxa"/>
            <w:vAlign w:val="bottom"/>
            <w:tcBorders>
              <w:bottom w:val="single" w:sz="8" w:color="0000EE"/>
            </w:tcBorders>
            <w:gridSpan w:val="31"/>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vTv Therapeutics Inc. Form of Nonqualified Option Award Agreement (incorporated by reference from Exhibit 10.7 to the Company’s Form</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8-K, filed August 4, 2015 (File No. 001-37524)).</w:t>
              </w:r>
            </w:hyperlink>
          </w:p>
        </w:tc>
        <w:tc>
          <w:tcPr>
            <w:tcW w:w="68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10.13††</w:t>
            </w:r>
          </w:p>
        </w:tc>
        <w:tc>
          <w:tcPr>
            <w:tcW w:w="10340" w:type="dxa"/>
            <w:vAlign w:val="bottom"/>
            <w:gridSpan w:val="37"/>
          </w:tcPr>
          <w:p>
            <w:pPr>
              <w:spacing w:after="0"/>
              <w:rPr>
                <w:rFonts w:ascii="Arial" w:cs="Arial" w:eastAsia="Arial" w:hAnsi="Arial"/>
                <w:sz w:val="18"/>
                <w:szCs w:val="18"/>
                <w:color w:val="0000EE"/>
                <w:w w:val="94"/>
              </w:rPr>
            </w:pPr>
            <w:hyperlink r:id="rId130">
              <w:r>
                <w:rPr>
                  <w:rFonts w:ascii="Arial" w:cs="Arial" w:eastAsia="Arial" w:hAnsi="Arial"/>
                  <w:sz w:val="18"/>
                  <w:szCs w:val="18"/>
                  <w:color w:val="0000EE"/>
                  <w:w w:val="94"/>
                </w:rPr>
                <w:t>Agreement Concerning Glucokinase Activator Project, dated as of February 20, 2007, by and between Novo Nordisk A/S and TransTech</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2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Pharma, Inc. (incorporated by reference from Exhibit 10.8 to Amendment No. 1 to the Company’s Registration Statement on Form S-1, dated</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June 19, 2015 (File No. 333-204951)).</w:t>
              </w:r>
            </w:hyperlink>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10.14††</w:t>
            </w:r>
          </w:p>
        </w:tc>
        <w:tc>
          <w:tcPr>
            <w:tcW w:w="10340" w:type="dxa"/>
            <w:vAlign w:val="bottom"/>
            <w:gridSpan w:val="37"/>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Venture Loan and Security Agreement dated as of October 28, 2016 by and among the Company, vTv Therapeutics LLC, Horizon Technology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2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Finance Corporation and Silicon Valley Bank (incorporated by reference from Exhibit 4.1 to the Company’s Form 10-K, filed February 24,</w:t>
              </w:r>
            </w:hyperlink>
          </w:p>
        </w:tc>
        <w:tc>
          <w:tcPr>
            <w:tcW w:w="240" w:type="dxa"/>
            <w:vAlign w:val="bottom"/>
            <w:tcBorders>
              <w:top w:val="single" w:sz="8" w:color="0000EE"/>
            </w:tcBorders>
            <w:gridSpan w:val="10"/>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2017 (File No. 001-37524)).</w:t>
              </w:r>
            </w:hyperlink>
          </w:p>
        </w:tc>
        <w:tc>
          <w:tcPr>
            <w:tcW w:w="828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10.15</w:t>
            </w:r>
          </w:p>
        </w:tc>
        <w:tc>
          <w:tcPr>
            <w:tcW w:w="580" w:type="dxa"/>
            <w:vAlign w:val="bottom"/>
          </w:tcPr>
          <w:p>
            <w:pPr>
              <w:spacing w:after="0"/>
              <w:rPr>
                <w:sz w:val="24"/>
                <w:szCs w:val="24"/>
                <w:color w:val="auto"/>
              </w:rPr>
            </w:pPr>
          </w:p>
        </w:tc>
        <w:tc>
          <w:tcPr>
            <w:tcW w:w="10040" w:type="dxa"/>
            <w:vAlign w:val="bottom"/>
            <w:tcBorders>
              <w:bottom w:val="single" w:sz="8" w:color="0000EE"/>
            </w:tcBorders>
            <w:gridSpan w:val="26"/>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First Amendment of Venture Loan and Security Agreement and Consent, dated as of December 20, 2017, by and among the Company, vTv</w:t>
              </w:r>
            </w:hyperlink>
          </w:p>
        </w:tc>
        <w:tc>
          <w:tcPr>
            <w:tcW w:w="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4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Therapeutics LLC, Horizon Credit II LLC and Silicon Valley Bank (incorporated by reference from Exhibit 10.17 to the Company’s Form 10-</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K, filed February 27, 2018 (File No. 001-37524)).</w:t>
              </w:r>
            </w:hyperlink>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10.16††</w:t>
            </w:r>
          </w:p>
        </w:tc>
        <w:tc>
          <w:tcPr>
            <w:tcW w:w="10080" w:type="dxa"/>
            <w:vAlign w:val="bottom"/>
            <w:tcBorders>
              <w:bottom w:val="single" w:sz="8" w:color="0000EE"/>
            </w:tcBorders>
            <w:gridSpan w:val="28"/>
          </w:tcPr>
          <w:p>
            <w:pPr>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License and Research Agreement, dated as of December 21, 2017, by and between Hangzhou Zhongmei Huadong Pharmaceutical Co., Ltd.</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w w:val="95"/>
              </w:rPr>
            </w:pPr>
            <w:hyperlink r:id="rId133">
              <w:r>
                <w:rPr>
                  <w:rFonts w:ascii="Arial" w:cs="Arial" w:eastAsia="Arial" w:hAnsi="Arial"/>
                  <w:sz w:val="18"/>
                  <w:szCs w:val="18"/>
                  <w:color w:val="0000EE"/>
                  <w:w w:val="95"/>
                </w:rPr>
                <w:t>And vTv Therapeutics LLC (incorporated by reference from Exhibit 10.19 to the Company’s Form 10-K, filed February 27, 2018 (File No.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001-37524)).</w:t>
              </w:r>
            </w:hyperlink>
          </w:p>
        </w:tc>
        <w:tc>
          <w:tcPr>
            <w:tcW w:w="1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10.17††</w:t>
            </w:r>
          </w:p>
        </w:tc>
        <w:tc>
          <w:tcPr>
            <w:tcW w:w="10060" w:type="dxa"/>
            <w:vAlign w:val="bottom"/>
            <w:tcBorders>
              <w:bottom w:val="single" w:sz="8" w:color="0000EE"/>
            </w:tcBorders>
            <w:gridSpan w:val="27"/>
          </w:tcPr>
          <w:p>
            <w:pPr>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License and Research Agreement, dated as of December 21, 2017, by and between Reneo Pharmaceuticals, Inc. and vTv Therapeutics LLC</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(incorporated by reference from Exhibit 10.20 to the Company’s Form 10-K, filed February 27, 2018 (File No. 001-37524)).</w:t>
              </w:r>
            </w:hyperlink>
          </w:p>
        </w:tc>
        <w:tc>
          <w:tcPr>
            <w:tcW w:w="13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10.18††</w:t>
            </w:r>
          </w:p>
        </w:tc>
        <w:tc>
          <w:tcPr>
            <w:tcW w:w="10080" w:type="dxa"/>
            <w:vAlign w:val="bottom"/>
            <w:tcBorders>
              <w:bottom w:val="single" w:sz="8" w:color="0000EE"/>
            </w:tcBorders>
            <w:gridSpan w:val="28"/>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License Agreement, dated as of May 31, 2018, by and between Newsoara Biopharma Co., Ltd. and vTv Therapeutics LLC (incorporated by</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reference from Exhibit 10.1 to the Company’s Form 10-Q, filed August 3, 2018 (File No. 001-37524)).</w:t>
              </w:r>
            </w:hyperlink>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21"/>
                <w:szCs w:val="21"/>
                <w:color w:val="auto"/>
              </w:rPr>
              <w:t>†</w:t>
            </w:r>
          </w:p>
        </w:tc>
        <w:tc>
          <w:tcPr>
            <w:tcW w:w="2040" w:type="dxa"/>
            <w:vAlign w:val="bottom"/>
            <w:gridSpan w:val="2"/>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gridSpan w:val="2"/>
            <w:vMerge w:val="continue"/>
          </w:tcPr>
          <w:p>
            <w:pPr>
              <w:spacing w:after="0"/>
              <w:rPr>
                <w:sz w:val="24"/>
                <w:szCs w:val="24"/>
                <w:color w:val="auto"/>
              </w:rPr>
            </w:pPr>
          </w:p>
        </w:tc>
        <w:tc>
          <w:tcPr>
            <w:tcW w:w="10280" w:type="dxa"/>
            <w:vAlign w:val="bottom"/>
            <w:tcBorders>
              <w:bottom w:val="single" w:sz="8" w:color="0000EE"/>
            </w:tcBorders>
            <w:gridSpan w:val="36"/>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Employment Agreement, dated as of March 7, 2019, by and between vTv Therapeutics LLC and Stephen L. Holcombe, and for certain limited</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purposes specified therein, vTv Therapeutics Inc. (incorporated by reference from Exhibit 10.1 to the Company’s Form 8-K, filed March 11,</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2019 (File No. 001-37524)).</w:t>
              </w:r>
            </w:hyperlink>
          </w:p>
        </w:tc>
        <w:tc>
          <w:tcPr>
            <w:tcW w:w="828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21"/>
                <w:szCs w:val="21"/>
                <w:color w:val="auto"/>
              </w:rPr>
              <w:t>†</w:t>
            </w:r>
          </w:p>
        </w:tc>
        <w:tc>
          <w:tcPr>
            <w:tcW w:w="9920" w:type="dxa"/>
            <w:vAlign w:val="bottom"/>
            <w:tcBorders>
              <w:bottom w:val="single" w:sz="8" w:color="0000EE"/>
            </w:tcBorders>
            <w:gridSpan w:val="23"/>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Employment Agreement, dated as of March 7, 2019, by and between vTv Therapeutics LLC and Rudy C. Howard, and for certain limited</w:t>
              </w:r>
            </w:hyperlink>
          </w:p>
        </w:tc>
        <w:tc>
          <w:tcPr>
            <w:tcW w:w="140" w:type="dxa"/>
            <w:vAlign w:val="bottom"/>
            <w:gridSpan w:val="4"/>
          </w:tcPr>
          <w:p>
            <w:pPr>
              <w:spacing w:after="0"/>
              <w:rPr>
                <w:sz w:val="24"/>
                <w:szCs w:val="24"/>
                <w:color w:val="auto"/>
              </w:rPr>
            </w:pPr>
          </w:p>
        </w:tc>
        <w:tc>
          <w:tcPr>
            <w:tcW w:w="60" w:type="dxa"/>
            <w:vAlign w:val="bottom"/>
            <w:gridSpan w:val="3"/>
          </w:tcPr>
          <w:p>
            <w:pPr>
              <w:spacing w:after="0"/>
              <w:rPr>
                <w:sz w:val="24"/>
                <w:szCs w:val="24"/>
                <w:color w:val="auto"/>
              </w:rPr>
            </w:pPr>
          </w:p>
        </w:tc>
        <w:tc>
          <w:tcPr>
            <w:tcW w:w="8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purposes specified therein, vTv Therapeutics Inc. (incorporated by reference from Exhibit 10.2 to the Company’s Form 8-K filed March 11,</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2019 (File No. 001-37524)).</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580" w:type="dxa"/>
            <w:vAlign w:val="bottom"/>
          </w:tcPr>
          <w:p>
            <w:pPr>
              <w:spacing w:after="0"/>
              <w:rPr>
                <w:sz w:val="24"/>
                <w:szCs w:val="24"/>
                <w:color w:val="auto"/>
              </w:rPr>
            </w:pPr>
          </w:p>
        </w:tc>
        <w:tc>
          <w:tcPr>
            <w:tcW w:w="10340" w:type="dxa"/>
            <w:vAlign w:val="bottom"/>
            <w:gridSpan w:val="37"/>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Form of Securities Purchase Agreement to Purchase Class A Common Stock, under the Company’s Form S-3 (incorporated by reference from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4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Exhibit 10.1 to the Company’s Form 8-K, filed March 20, 2019 (File No. 001-37524)).</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gridSpan w:val="8"/>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4"/>
                <w:szCs w:val="24"/>
                <w:color w:val="auto"/>
              </w:rPr>
            </w:pPr>
          </w:p>
        </w:tc>
        <w:tc>
          <w:tcPr>
            <w:tcW w:w="10340" w:type="dxa"/>
            <w:vAlign w:val="bottom"/>
            <w:gridSpan w:val="37"/>
          </w:tcPr>
          <w:p>
            <w:pPr>
              <w:spacing w:after="0"/>
              <w:rPr>
                <w:rFonts w:ascii="Arial" w:cs="Arial" w:eastAsia="Arial" w:hAnsi="Arial"/>
                <w:sz w:val="18"/>
                <w:szCs w:val="18"/>
                <w:color w:val="0000EE"/>
                <w:w w:val="93"/>
              </w:rPr>
            </w:pPr>
            <w:hyperlink r:id="rId139">
              <w:r>
                <w:rPr>
                  <w:rFonts w:ascii="Arial" w:cs="Arial" w:eastAsia="Arial" w:hAnsi="Arial"/>
                  <w:sz w:val="18"/>
                  <w:szCs w:val="18"/>
                  <w:color w:val="0000EE"/>
                  <w:w w:val="93"/>
                </w:rPr>
                <w:t>Letter Agreement, dated as of March 18, 2019, by and between MacAndrews &amp; Forbes Group LLC and vTv Therapeutics Inc. (incorporated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by reference from Exhibit 10.2 to the Company’s Form 8-K, filed March 20, 2019 (File No. 001-37524)).</w:t>
              </w:r>
            </w:hyperlink>
          </w:p>
        </w:tc>
        <w:tc>
          <w:tcPr>
            <w:tcW w:w="2520" w:type="dxa"/>
            <w:vAlign w:val="bottom"/>
            <w:tcBorders>
              <w:top w:val="single" w:sz="8" w:color="0000EE"/>
            </w:tcBorders>
            <w:gridSpan w:val="16"/>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10.23</w:t>
            </w:r>
          </w:p>
        </w:tc>
        <w:tc>
          <w:tcPr>
            <w:tcW w:w="580" w:type="dxa"/>
            <w:vAlign w:val="bottom"/>
          </w:tcPr>
          <w:p>
            <w:pPr>
              <w:spacing w:after="0"/>
              <w:rPr>
                <w:sz w:val="24"/>
                <w:szCs w:val="24"/>
                <w:color w:val="auto"/>
              </w:rPr>
            </w:pPr>
          </w:p>
        </w:tc>
        <w:tc>
          <w:tcPr>
            <w:tcW w:w="9420" w:type="dxa"/>
            <w:vAlign w:val="bottom"/>
            <w:tcBorders>
              <w:bottom w:val="single" w:sz="8" w:color="0000EE"/>
            </w:tcBorders>
            <w:gridSpan w:val="18"/>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Letter Agreement, dated as of September 26, 2019, by and between MacAndrews &amp; Forbes Group LLC and vTv Therapeutics Inc.</w:t>
              </w:r>
            </w:hyperlink>
          </w:p>
        </w:tc>
        <w:tc>
          <w:tcPr>
            <w:tcW w:w="9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(incorporated by reference from Exhibit 10.1 to the Company’s Form 10-Q, filed October 30, 2019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gridSpan w:val="8"/>
            <w:shd w:val="clear" w:color="auto" w:fill="0000EE"/>
          </w:tcPr>
          <w:p>
            <w:pPr>
              <w:spacing w:after="0" w:line="20" w:lineRule="exact"/>
              <w:rPr>
                <w:sz w:val="1"/>
                <w:szCs w:val="1"/>
                <w:color w:val="auto"/>
              </w:rPr>
            </w:pPr>
          </w:p>
        </w:tc>
        <w:tc>
          <w:tcPr>
            <w:tcW w:w="5020" w:type="dxa"/>
            <w:vAlign w:val="bottom"/>
            <w:gridSpan w:val="7"/>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10.24</w:t>
            </w:r>
          </w:p>
        </w:tc>
        <w:tc>
          <w:tcPr>
            <w:tcW w:w="580" w:type="dxa"/>
            <w:vAlign w:val="bottom"/>
          </w:tcPr>
          <w:p>
            <w:pPr>
              <w:spacing w:after="0"/>
              <w:rPr>
                <w:sz w:val="24"/>
                <w:szCs w:val="24"/>
                <w:color w:val="auto"/>
              </w:rPr>
            </w:pPr>
          </w:p>
        </w:tc>
        <w:tc>
          <w:tcPr>
            <w:tcW w:w="10340" w:type="dxa"/>
            <w:vAlign w:val="bottom"/>
            <w:gridSpan w:val="37"/>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Form of Securities Purchase Agreement to Purchase Class A Common Stock, under the September 26, 2019 Letter Agreement, by and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gridSpan w:val="8"/>
            <w:shd w:val="clear" w:color="auto" w:fill="0000EE"/>
          </w:tcPr>
          <w:p>
            <w:pPr>
              <w:spacing w:after="0" w:line="20" w:lineRule="exact"/>
              <w:rPr>
                <w:sz w:val="1"/>
                <w:szCs w:val="1"/>
                <w:color w:val="auto"/>
              </w:rPr>
            </w:pPr>
          </w:p>
        </w:tc>
        <w:tc>
          <w:tcPr>
            <w:tcW w:w="5600" w:type="dxa"/>
            <w:vAlign w:val="bottom"/>
            <w:gridSpan w:val="9"/>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between MacAndrews &amp; Forbes Group LLC and vTv Therapeutics Inc. (incorporated by reference from Exhibit 10.2 to the Company’s Form</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10-Q, filed October 30, 2019 (File No. 001-37524)).</w:t>
              </w:r>
            </w:hyperlink>
          </w:p>
        </w:tc>
        <w:tc>
          <w:tcPr>
            <w:tcW w:w="65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w w:val="95"/>
              </w:rPr>
              <w:t>10.25*</w:t>
            </w:r>
          </w:p>
        </w:tc>
        <w:tc>
          <w:tcPr>
            <w:tcW w:w="580" w:type="dxa"/>
            <w:vAlign w:val="bottom"/>
          </w:tcPr>
          <w:p>
            <w:pPr>
              <w:spacing w:after="0"/>
              <w:rPr>
                <w:sz w:val="24"/>
                <w:szCs w:val="24"/>
                <w:color w:val="auto"/>
              </w:rPr>
            </w:pPr>
          </w:p>
        </w:tc>
        <w:tc>
          <w:tcPr>
            <w:tcW w:w="10340" w:type="dxa"/>
            <w:vAlign w:val="bottom"/>
            <w:gridSpan w:val="37"/>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Letter Agreement, dated as of December 23, 2019, by and between MacAndrews &amp; Forbes Group LLC and vTv Therapeutics Inc.</w:t>
              </w:r>
            </w:hyperlink>
          </w:p>
        </w:tc>
        <w:tc>
          <w:tcPr>
            <w:tcW w:w="0" w:type="dxa"/>
            <w:vAlign w:val="bottom"/>
          </w:tcPr>
          <w:p>
            <w:pPr>
              <w:spacing w:after="0"/>
              <w:rPr>
                <w:sz w:val="1"/>
                <w:szCs w:val="1"/>
                <w:color w:val="auto"/>
              </w:rPr>
            </w:pPr>
          </w:p>
        </w:tc>
      </w:tr>
      <w:tr>
        <w:trPr>
          <w:trHeight w:val="574"/>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tcBorders>
              <w:top w:val="single" w:sz="8" w:color="0000EE"/>
            </w:tcBorders>
            <w:gridSpan w:val="9"/>
          </w:tcPr>
          <w:p>
            <w:pPr>
              <w:ind w:left="4520"/>
              <w:spacing w:after="0"/>
              <w:rPr>
                <w:sz w:val="20"/>
                <w:szCs w:val="20"/>
                <w:color w:val="auto"/>
              </w:rPr>
            </w:pPr>
            <w:r>
              <w:rPr>
                <w:rFonts w:ascii="Arial" w:cs="Arial" w:eastAsia="Arial" w:hAnsi="Arial"/>
                <w:sz w:val="18"/>
                <w:szCs w:val="18"/>
                <w:color w:val="auto"/>
              </w:rPr>
              <w:t>90</w:t>
            </w:r>
          </w:p>
        </w:tc>
        <w:tc>
          <w:tcPr>
            <w:tcW w:w="7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4" w:right="2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40" w:type="dxa"/>
            <w:vAlign w:val="bottom"/>
            <w:gridSpan w:val="7"/>
            <w:vMerge w:val="restart"/>
          </w:tcPr>
          <w:p>
            <w:pPr>
              <w:ind w:left="60"/>
              <w:spacing w:after="0" w:line="189" w:lineRule="exact"/>
              <w:rPr>
                <w:rFonts w:ascii="Arial" w:cs="Arial" w:eastAsia="Arial" w:hAnsi="Arial"/>
                <w:sz w:val="18"/>
                <w:szCs w:val="18"/>
                <w:color w:val="0000EE"/>
                <w:w w:val="89"/>
              </w:rPr>
            </w:pPr>
            <w:hyperlink w:anchor="page129">
              <w:r>
                <w:rPr>
                  <w:rFonts w:ascii="Arial" w:cs="Arial" w:eastAsia="Arial" w:hAnsi="Arial"/>
                  <w:sz w:val="18"/>
                  <w:szCs w:val="18"/>
                  <w:color w:val="0000EE"/>
                  <w:w w:val="89"/>
                </w:rPr>
                <w:t>under the December 23, 2019 Letter Agreement, by and between</w:t>
              </w:r>
            </w:hyperlink>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line="170" w:lineRule="exact"/>
              <w:rPr>
                <w:sz w:val="20"/>
                <w:szCs w:val="20"/>
                <w:color w:val="auto"/>
              </w:rPr>
            </w:pPr>
            <w:r>
              <w:rPr>
                <w:rFonts w:ascii="Arial" w:cs="Arial" w:eastAsia="Arial" w:hAnsi="Arial"/>
                <w:sz w:val="18"/>
                <w:szCs w:val="18"/>
                <w:color w:val="auto"/>
                <w:w w:val="95"/>
              </w:rPr>
              <w:t>10.26*</w:t>
            </w:r>
          </w:p>
        </w:tc>
        <w:tc>
          <w:tcPr>
            <w:tcW w:w="580" w:type="dxa"/>
            <w:vAlign w:val="bottom"/>
          </w:tcPr>
          <w:p>
            <w:pPr>
              <w:spacing w:after="0"/>
              <w:rPr>
                <w:sz w:val="14"/>
                <w:szCs w:val="14"/>
                <w:color w:val="auto"/>
              </w:rPr>
            </w:pPr>
          </w:p>
        </w:tc>
        <w:tc>
          <w:tcPr>
            <w:tcW w:w="5580" w:type="dxa"/>
            <w:vAlign w:val="bottom"/>
            <w:gridSpan w:val="6"/>
          </w:tcPr>
          <w:p>
            <w:pPr>
              <w:spacing w:after="0" w:line="170" w:lineRule="exact"/>
              <w:rPr>
                <w:rFonts w:ascii="Arial" w:cs="Arial" w:eastAsia="Arial" w:hAnsi="Arial"/>
                <w:sz w:val="18"/>
                <w:szCs w:val="18"/>
                <w:color w:val="0000EE"/>
                <w:w w:val="89"/>
              </w:rPr>
            </w:pPr>
            <w:hyperlink w:anchor="page129">
              <w:r>
                <w:rPr>
                  <w:rFonts w:ascii="Arial" w:cs="Arial" w:eastAsia="Arial" w:hAnsi="Arial"/>
                  <w:sz w:val="18"/>
                  <w:szCs w:val="18"/>
                  <w:color w:val="0000EE"/>
                  <w:w w:val="89"/>
                </w:rPr>
                <w:t>Form of Securities Purchase Agreement to Purchase Class A Common Stock,</w:t>
              </w:r>
            </w:hyperlink>
          </w:p>
        </w:tc>
        <w:tc>
          <w:tcPr>
            <w:tcW w:w="47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MacAndrews &amp; Forbes Group LLC and vTv Therapeutics Inc.</w:t>
              </w:r>
            </w:hyperlink>
          </w:p>
        </w:tc>
        <w:tc>
          <w:tcPr>
            <w:tcW w:w="57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Subsidiaries of vTv Therapeutics Inc.</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58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41">
              <w:r>
                <w:rPr>
                  <w:rFonts w:ascii="Arial" w:cs="Arial" w:eastAsia="Arial" w:hAnsi="Arial"/>
                  <w:sz w:val="18"/>
                  <w:szCs w:val="18"/>
                  <w:color w:val="0000EE"/>
                  <w:w w:val="91"/>
                </w:rPr>
                <w:t>Consent of Ernst &amp; Young LLP, Independent Registered Pubic Accounting Firm.</w:t>
              </w:r>
            </w:hyperlink>
          </w:p>
        </w:tc>
        <w:tc>
          <w:tcPr>
            <w:tcW w:w="44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100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42">
              <w:r>
                <w:rPr>
                  <w:rFonts w:ascii="Arial" w:cs="Arial" w:eastAsia="Arial" w:hAnsi="Arial"/>
                  <w:sz w:val="18"/>
                  <w:szCs w:val="18"/>
                  <w:color w:val="0000EE"/>
                  <w:w w:val="91"/>
                </w:rPr>
                <w:t>Certification of President and Chief Executive Officer required by Rule 13a-14(a)/15d-14(a) under the Securities Exchange Act of 1934, as</w:t>
              </w:r>
            </w:hyperlink>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amended,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52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99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520" w:type="dxa"/>
            <w:vAlign w:val="bottom"/>
            <w:tcBorders>
              <w:right w:val="single" w:sz="8" w:color="0000EE"/>
            </w:tcBorders>
            <w:gridSpan w:val="3"/>
            <w:shd w:val="clear" w:color="auto" w:fill="0000EE"/>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103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44">
              <w:r>
                <w:rPr>
                  <w:rFonts w:ascii="Arial" w:cs="Arial" w:eastAsia="Arial" w:hAnsi="Arial"/>
                  <w:sz w:val="18"/>
                  <w:szCs w:val="18"/>
                  <w:color w:val="0000EE"/>
                  <w:w w:val="90"/>
                </w:rPr>
                <w:t>Certification of President and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44">
              <w:r>
                <w:rPr>
                  <w:rFonts w:ascii="Arial" w:cs="Arial" w:eastAsia="Arial" w:hAnsi="Arial"/>
                  <w:sz w:val="18"/>
                  <w:szCs w:val="18"/>
                  <w:color w:val="0000EE"/>
                  <w:w w:val="93"/>
                </w:rPr>
                <w:t>Oxley Act of 2002.</w:t>
              </w:r>
            </w:hyperlink>
          </w:p>
        </w:tc>
        <w:tc>
          <w:tcPr>
            <w:tcW w:w="89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2"/>
              </w:rPr>
            </w:pPr>
            <w:hyperlink w:anchor="page145">
              <w:r>
                <w:rPr>
                  <w:rFonts w:ascii="Arial" w:cs="Arial" w:eastAsia="Arial" w:hAnsi="Arial"/>
                  <w:sz w:val="18"/>
                  <w:szCs w:val="18"/>
                  <w:color w:val="0000EE"/>
                  <w:w w:val="92"/>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45">
              <w:r>
                <w:rPr>
                  <w:rFonts w:ascii="Arial" w:cs="Arial" w:eastAsia="Arial" w:hAnsi="Arial"/>
                  <w:sz w:val="18"/>
                  <w:szCs w:val="18"/>
                  <w:color w:val="0000EE"/>
                  <w:w w:val="84"/>
                </w:rPr>
                <w:t>2002.</w:t>
              </w:r>
            </w:hyperlink>
          </w:p>
        </w:tc>
        <w:tc>
          <w:tcPr>
            <w:tcW w:w="10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2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13"/>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3036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Confidential treatment received with respect to portions of this exhibit.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30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91" w:name="page92"/>
    <w:bookmarkEnd w:id="91"/>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pacing w:after="0" w:line="22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VTV THERAPEUTICS INC.</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280"/>
        <w:spacing w:after="0"/>
        <w:tabs>
          <w:tab w:leader="none" w:pos="6780" w:val="left"/>
        </w:tabs>
        <w:rPr>
          <w:sz w:val="20"/>
          <w:szCs w:val="20"/>
          <w:color w:val="auto"/>
        </w:rPr>
      </w:pPr>
      <w:r>
        <w:rPr>
          <w:rFonts w:ascii="Arial" w:cs="Arial" w:eastAsia="Arial" w:hAnsi="Arial"/>
          <w:sz w:val="18"/>
          <w:szCs w:val="18"/>
          <w:color w:val="auto"/>
        </w:rPr>
        <w:t>By:</w:t>
        <w:tab/>
        <w:t>/s/ Stephen L. Holcombe</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-130810</wp:posOffset>
            </wp:positionV>
            <wp:extent cx="29330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280"/>
        <w:spacing w:after="0"/>
        <w:tabs>
          <w:tab w:leader="none" w:pos="678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-130810</wp:posOffset>
            </wp:positionV>
            <wp:extent cx="29330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92" w:name="page93"/>
    <w:bookmarkEnd w:id="92"/>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Jeffrey B. Kindler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Jeffrey B. Kindler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780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13" w:lineRule="exact"/>
        <w:rPr>
          <w:sz w:val="20"/>
          <w:szCs w:val="20"/>
          <w:color w:val="auto"/>
        </w:rPr>
      </w:pPr>
    </w:p>
    <w:p>
      <w:pPr>
        <w:ind w:right="1040"/>
        <w:spacing w:after="0" w:line="395" w:lineRule="auto"/>
        <w:rPr>
          <w:sz w:val="20"/>
          <w:szCs w:val="20"/>
          <w:color w:val="auto"/>
        </w:rPr>
      </w:pPr>
      <w:r>
        <w:rPr>
          <w:rFonts w:ascii="Arial" w:cs="Arial" w:eastAsia="Arial" w:hAnsi="Arial"/>
          <w:sz w:val="16"/>
          <w:szCs w:val="16"/>
          <w:color w:val="auto"/>
        </w:rPr>
        <w:t>/s/ Stephen L. Holcombe 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21780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Rudy C. Howard</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A.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A. Fry</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Hersh Kozlov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Hersh Kozlov</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G. 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G. Savas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Noel J.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Noel J. Spiegel</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Howard 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Howard L. Weiner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506" w:lineRule="exact"/>
        <w:rPr>
          <w:sz w:val="20"/>
          <w:szCs w:val="20"/>
          <w:color w:val="auto"/>
        </w:rPr>
      </w:pPr>
    </w:p>
    <w:p>
      <w:pPr>
        <w:sectPr>
          <w:pgSz w:w="11900" w:h="16838" w:orient="portrait"/>
          <w:cols w:equalWidth="0" w:num="3">
            <w:col w:w="2840" w:space="720"/>
            <w:col w:w="5820" w:space="720"/>
            <w:col w:w="13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7"/>
              </w:rPr>
              <w:t>Page</w:t>
            </w:r>
          </w:p>
        </w:tc>
      </w:tr>
      <w:tr>
        <w:trPr>
          <w:trHeight w:val="385"/>
        </w:trPr>
        <w:tc>
          <w:tcPr>
            <w:tcW w:w="4520" w:type="dxa"/>
            <w:vAlign w:val="bottom"/>
            <w:tcBorders>
              <w:bottom w:val="single" w:sz="8" w:color="0000EE"/>
            </w:tcBorders>
            <w:gridSpan w:val="5"/>
          </w:tcPr>
          <w:p>
            <w:pPr>
              <w:spacing w:after="0"/>
              <w:rPr>
                <w:rFonts w:ascii="Arial" w:cs="Arial" w:eastAsia="Arial" w:hAnsi="Arial"/>
                <w:sz w:val="18"/>
                <w:szCs w:val="18"/>
                <w:b w:val="1"/>
                <w:bCs w:val="1"/>
                <w:color w:val="0000EE"/>
                <w:w w:val="90"/>
              </w:rPr>
            </w:pPr>
            <w:hyperlink w:anchor="page95">
              <w:r>
                <w:rPr>
                  <w:rFonts w:ascii="Arial" w:cs="Arial" w:eastAsia="Arial" w:hAnsi="Arial"/>
                  <w:sz w:val="18"/>
                  <w:szCs w:val="18"/>
                  <w:b w:val="1"/>
                  <w:bCs w:val="1"/>
                  <w:color w:val="0000EE"/>
                  <w:w w:val="90"/>
                </w:rPr>
                <w:t>Report of Independent Registered Public Accounting Firm</w:t>
              </w:r>
            </w:hyperlink>
          </w:p>
        </w:tc>
        <w:tc>
          <w:tcPr>
            <w:tcW w:w="6500" w:type="dxa"/>
            <w:vAlign w:val="bottom"/>
            <w:gridSpan w:val="5"/>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81"/>
              </w:rPr>
              <w:t>F-2</w:t>
            </w:r>
          </w:p>
        </w:tc>
      </w:tr>
      <w:tr>
        <w:trPr>
          <w:trHeight w:val="438"/>
        </w:trPr>
        <w:tc>
          <w:tcPr>
            <w:tcW w:w="1102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r>
      <w:tr>
        <w:trPr>
          <w:trHeight w:val="190"/>
        </w:trPr>
        <w:tc>
          <w:tcPr>
            <w:tcW w:w="460" w:type="dxa"/>
            <w:vAlign w:val="bottom"/>
          </w:tcPr>
          <w:p>
            <w:pPr>
              <w:spacing w:after="0"/>
              <w:rPr>
                <w:sz w:val="16"/>
                <w:szCs w:val="16"/>
                <w:color w:val="auto"/>
              </w:rPr>
            </w:pPr>
          </w:p>
        </w:tc>
        <w:tc>
          <w:tcPr>
            <w:tcW w:w="10560" w:type="dxa"/>
            <w:vAlign w:val="bottom"/>
            <w:gridSpan w:val="9"/>
          </w:tcPr>
          <w:p>
            <w:pPr>
              <w:spacing w:after="0" w:line="190"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Balance Sheets as of December 31, 2019 and 2018</w:t>
              </w:r>
            </w:hyperlink>
          </w:p>
        </w:tc>
        <w:tc>
          <w:tcPr>
            <w:tcW w:w="300" w:type="dxa"/>
            <w:vAlign w:val="bottom"/>
          </w:tcPr>
          <w:p>
            <w:pPr>
              <w:ind w:left="60"/>
              <w:spacing w:after="0" w:line="190" w:lineRule="exact"/>
              <w:rPr>
                <w:sz w:val="20"/>
                <w:szCs w:val="20"/>
                <w:color w:val="auto"/>
              </w:rPr>
            </w:pPr>
            <w:r>
              <w:rPr>
                <w:rFonts w:ascii="Arial" w:cs="Arial" w:eastAsia="Arial" w:hAnsi="Arial"/>
                <w:sz w:val="18"/>
                <w:szCs w:val="18"/>
                <w:color w:val="auto"/>
                <w:w w:val="81"/>
              </w:rPr>
              <w:t>F-3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60" w:type="dxa"/>
            <w:vAlign w:val="bottom"/>
            <w:gridSpan w:val="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Consolidated Statements of Operations for the Years Ended December 31, 2019, 2018 and 2017</w:t>
              </w:r>
            </w:hyperlink>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60" w:type="dxa"/>
            <w:vAlign w:val="bottom"/>
            <w:gridSpan w:val="9"/>
          </w:tcPr>
          <w:p>
            <w:pPr>
              <w:spacing w:after="0" w:line="196"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Consolidated Statements of Changes in Redeemable Noncontrolling Interest and Stockholders’ Deficit for the Years Ended December 31, 2019,</w:t>
              </w:r>
            </w:hyperlink>
          </w:p>
        </w:tc>
        <w:tc>
          <w:tcPr>
            <w:tcW w:w="30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1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2018 and 2017</w:t>
              </w:r>
            </w:hyperlink>
          </w:p>
        </w:tc>
        <w:tc>
          <w:tcPr>
            <w:tcW w:w="220" w:type="dxa"/>
            <w:vAlign w:val="bottom"/>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60" w:type="dxa"/>
            <w:vAlign w:val="bottom"/>
            <w:gridSpan w:val="9"/>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Consolidated Statements of Cash Flows for the Years Ended December 31, 2019, 2018 and 2017</w:t>
              </w:r>
            </w:hyperlink>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F-6</w:t>
            </w:r>
          </w:p>
        </w:tc>
      </w:tr>
      <w:tr>
        <w:trPr>
          <w:trHeight w:val="20"/>
        </w:trPr>
        <w:tc>
          <w:tcPr>
            <w:tcW w:w="46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4060" w:type="dxa"/>
            <w:vAlign w:val="bottom"/>
            <w:gridSpan w:val="4"/>
            <w:shd w:val="clear" w:color="auto" w:fill="0000EE"/>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1020" w:type="dxa"/>
            <w:vAlign w:val="bottom"/>
            <w:gridSpan w:val="10"/>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Notes to Consolidated Financial Statements</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F-7</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Annual Report on Form 10-K to the “Company”, “we”, “us” and “our” refer to vTv Therapeutics Inc. and its consolidated subsidiaries.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4" w:name="page95"/>
    <w:bookmarkEnd w:id="94"/>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vTv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audited the accompanying consolidated balance sheets of vTv Therapeutics Inc. (the Company) as of December 31, 2019 and 2018, the related consolidated statements of operations, changes in redeemable noncontrolling interest and stockholders’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consolidated results of its operations and its cash flows for each of the three years in the period ended December 31, 2019,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financial statements, to date, the Company has not generated any product revenue, has not achieved profitable operations, has insufficient liquidity to sustain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340" w:type="dxa"/>
            <w:vAlign w:val="bottom"/>
            <w:tcBorders>
              <w:bottom w:val="single" w:sz="8" w:color="CFF0FC"/>
            </w:tcBorders>
          </w:tcPr>
          <w:p>
            <w:pPr>
              <w:spacing w:after="0"/>
              <w:rPr>
                <w:sz w:val="16"/>
                <w:szCs w:val="16"/>
                <w:color w:val="auto"/>
              </w:rPr>
            </w:pPr>
          </w:p>
        </w:tc>
        <w:tc>
          <w:tcPr>
            <w:tcW w:w="64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deposits</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Restricted cash and cash equivalents, long-term</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deposits</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7,068</w:t>
            </w:r>
          </w:p>
        </w:tc>
        <w:tc>
          <w:tcPr>
            <w:tcW w:w="18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Current portion of deferred revenue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Notes payable, net of current portion</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Warrant liability, related party</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Total liabilities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260"/>
              <w:spacing w:after="0"/>
              <w:rPr>
                <w:sz w:val="20"/>
                <w:szCs w:val="20"/>
                <w:color w:val="auto"/>
              </w:rPr>
            </w:pPr>
            <w:r>
              <w:rPr>
                <w:rFonts w:ascii="Arial" w:cs="Arial" w:eastAsia="Arial" w:hAnsi="Arial"/>
                <w:sz w:val="18"/>
                <w:szCs w:val="18"/>
                <w:color w:val="auto"/>
              </w:rPr>
              <w:t>Class A Common Stock, $0.01 par value; 100,000,000 shares authorized, 40,918,522</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380"/>
              <w:spacing w:after="0"/>
              <w:rPr>
                <w:sz w:val="20"/>
                <w:szCs w:val="20"/>
                <w:color w:val="auto"/>
              </w:rPr>
            </w:pPr>
            <w:r>
              <w:rPr>
                <w:rFonts w:ascii="Arial" w:cs="Arial" w:eastAsia="Arial" w:hAnsi="Arial"/>
                <w:sz w:val="18"/>
                <w:szCs w:val="18"/>
                <w:color w:val="auto"/>
              </w:rPr>
              <w:t>and 20,347,065 shares outstanding as of December 31, 2019 and December 31, 2018,</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Class B Common Stock, $0.01 par value; 100,000,000 shares authorized, and 23,094,221</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outstanding as of December 31, 2019 and December 31, 2018</w:t>
            </w: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183,858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(233,522)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(233,883)</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6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(49,023)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3"/>
              </w:rPr>
              <w:t>Years Ending December 31,</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32,258</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(19,824)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(loss)</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Other income (expense) – related party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(638)</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(1,827)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(3,290)</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(21,838)</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(23,645)</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(8,894)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(15,934)</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(38,503)</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Net loss attributable to vTv Therapeutics Inc. common shareholders</w:t>
            </w:r>
          </w:p>
        </w:tc>
        <w:tc>
          <w:tcPr>
            <w:tcW w:w="3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FF0FC"/>
            </w:tcBorders>
            <w:vMerge w:val="continue"/>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(17,913)</w:t>
            </w: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(8,650)</w:t>
            </w:r>
          </w:p>
        </w:tc>
        <w:tc>
          <w:tcPr>
            <w:tcW w:w="3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Net loss per share of vTv Therapeutics Inc. Class A Common Stock,</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(0.59)</w:t>
            </w:r>
          </w:p>
        </w:tc>
        <w:tc>
          <w:tcPr>
            <w:tcW w:w="5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Weighted-average number of vTv Therapeutics Inc. Class A Common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380"/>
              <w:spacing w:after="0"/>
              <w:rPr>
                <w:sz w:val="20"/>
                <w:szCs w:val="20"/>
                <w:color w:val="auto"/>
              </w:rPr>
            </w:pPr>
            <w:r>
              <w:rPr>
                <w:rFonts w:ascii="Arial" w:cs="Arial" w:eastAsia="Arial" w:hAnsi="Arial"/>
                <w:sz w:val="18"/>
                <w:szCs w:val="18"/>
                <w:color w:val="auto"/>
              </w:rPr>
              <w:t>Stock, basic and diluted</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30,292,030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12,449,236</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9,693,254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Noncontrolling Interest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6"/>
              </w:rPr>
              <w:t>Redeemable</w:t>
            </w:r>
          </w:p>
        </w:tc>
        <w:tc>
          <w:tcPr>
            <w:tcW w:w="140" w:type="dxa"/>
            <w:vAlign w:val="bottom"/>
            <w:tcBorders>
              <w:right w:val="single" w:sz="8" w:color="auto"/>
            </w:tcBorders>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4"/>
          </w:tcPr>
          <w:p>
            <w:pPr>
              <w:jc w:val="right"/>
              <w:ind w:right="217"/>
              <w:spacing w:after="0"/>
              <w:rPr>
                <w:sz w:val="20"/>
                <w:szCs w:val="20"/>
                <w:color w:val="auto"/>
              </w:rPr>
            </w:pPr>
            <w:r>
              <w:rPr>
                <w:rFonts w:ascii="Arial" w:cs="Arial" w:eastAsia="Arial" w:hAnsi="Arial"/>
                <w:sz w:val="13"/>
                <w:szCs w:val="13"/>
                <w:b w:val="1"/>
                <w:bCs w:val="1"/>
                <w:color w:val="auto"/>
              </w:rPr>
              <w:t>Class A Common Stock</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5"/>
          </w:tcPr>
          <w:p>
            <w:pPr>
              <w:jc w:val="right"/>
              <w:ind w:right="217"/>
              <w:spacing w:after="0"/>
              <w:rPr>
                <w:sz w:val="20"/>
                <w:szCs w:val="20"/>
                <w:color w:val="auto"/>
              </w:rPr>
            </w:pPr>
            <w:r>
              <w:rPr>
                <w:rFonts w:ascii="Arial" w:cs="Arial" w:eastAsia="Arial" w:hAnsi="Arial"/>
                <w:sz w:val="13"/>
                <w:szCs w:val="13"/>
                <w:b w:val="1"/>
                <w:bCs w:val="1"/>
                <w:color w:val="auto"/>
              </w:rPr>
              <w:t>Class B Common Stock</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vMerge w:val="restart"/>
          </w:tcPr>
          <w:p>
            <w:pPr>
              <w:spacing w:after="0"/>
              <w:rPr>
                <w:sz w:val="14"/>
                <w:szCs w:val="14"/>
                <w:color w:val="auto"/>
              </w:rPr>
            </w:pPr>
          </w:p>
        </w:tc>
        <w:tc>
          <w:tcPr>
            <w:tcW w:w="140" w:type="dxa"/>
            <w:vAlign w:val="bottom"/>
            <w:tcBorders>
              <w:top w:val="single" w:sz="8" w:color="auto"/>
              <w:bottom w:val="single" w:sz="8" w:color="auto"/>
            </w:tcBorders>
            <w:vMerge w:val="restart"/>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110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3"/>
                <w:szCs w:val="13"/>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December 31, 2016</w:t>
            </w: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122,515</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9,693,254</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97</w:t>
            </w: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23,119,246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124,212</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(215,486)</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(90,945)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(38,503)</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(16,144)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(16,144)</w:t>
            </w: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tcPr>
          <w:p>
            <w:pPr>
              <w:ind w:left="260"/>
              <w:spacing w:after="0" w:line="134" w:lineRule="exact"/>
              <w:rPr>
                <w:sz w:val="20"/>
                <w:szCs w:val="20"/>
                <w:color w:val="auto"/>
              </w:rPr>
            </w:pPr>
            <w:r>
              <w:rPr>
                <w:rFonts w:ascii="Arial" w:cs="Arial" w:eastAsia="Arial" w:hAnsi="Arial"/>
                <w:sz w:val="13"/>
                <w:szCs w:val="13"/>
                <w:color w:val="auto"/>
              </w:rPr>
              <w:t>Issuance of warrants to purchase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340"/>
              <w:spacing w:after="0"/>
              <w:rPr>
                <w:sz w:val="20"/>
                <w:szCs w:val="20"/>
                <w:color w:val="auto"/>
              </w:rPr>
            </w:pPr>
            <w:r>
              <w:rPr>
                <w:rFonts w:ascii="Arial" w:cs="Arial" w:eastAsia="Arial" w:hAnsi="Arial"/>
                <w:sz w:val="13"/>
                <w:szCs w:val="13"/>
                <w:color w:val="auto"/>
              </w:rPr>
              <w:t>Class A Common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87"/>
              </w:rPr>
              <w:t>Issuance of Letter Agreement and warrants to</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w w:val="91"/>
              </w:rPr>
              <w:t>purchase Class A Common Stock - related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party</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34"/>
        </w:trPr>
        <w:tc>
          <w:tcPr>
            <w:tcW w:w="260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47,428</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(47,428)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(47,428)</w:t>
            </w:r>
          </w:p>
        </w:tc>
        <w:tc>
          <w:tcPr>
            <w:tcW w:w="0" w:type="dxa"/>
            <w:vAlign w:val="bottom"/>
          </w:tcPr>
          <w:p>
            <w:pPr>
              <w:spacing w:after="0"/>
              <w:rPr>
                <w:sz w:val="1"/>
                <w:szCs w:val="1"/>
                <w:color w:val="auto"/>
              </w:rPr>
            </w:pPr>
          </w:p>
        </w:tc>
      </w:tr>
      <w:tr>
        <w:trPr>
          <w:trHeight w:val="142"/>
        </w:trPr>
        <w:tc>
          <w:tcPr>
            <w:tcW w:w="26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December 31, 2017</w:t>
            </w: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131,440</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9,693,254</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97</w:t>
            </w: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23,119,246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127,682</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(279,058)</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(151,047)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Pr>
          <w:p>
            <w:pPr>
              <w:ind w:left="260"/>
              <w:spacing w:after="0" w:line="143" w:lineRule="exact"/>
              <w:rPr>
                <w:sz w:val="20"/>
                <w:szCs w:val="20"/>
                <w:color w:val="auto"/>
              </w:rPr>
            </w:pPr>
            <w:r>
              <w:rPr>
                <w:rFonts w:ascii="Arial" w:cs="Arial" w:eastAsia="Arial" w:hAnsi="Arial"/>
                <w:sz w:val="13"/>
                <w:szCs w:val="13"/>
                <w:color w:val="auto"/>
              </w:rPr>
              <w:t>Net 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(15,934)</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3"/>
                <w:szCs w:val="13"/>
                <w:color w:val="auto"/>
              </w:rPr>
              <w:t>(7,911)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3"/>
                <w:szCs w:val="13"/>
                <w:color w:val="auto"/>
              </w:rPr>
              <w:t>(7,911)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Cumulative effect of accounting</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change</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60"/>
              <w:spacing w:after="0"/>
              <w:rPr>
                <w:sz w:val="20"/>
                <w:szCs w:val="20"/>
                <w:color w:val="auto"/>
              </w:rPr>
            </w:pPr>
            <w:r>
              <w:rPr>
                <w:rFonts w:ascii="Arial" w:cs="Arial" w:eastAsia="Arial" w:hAnsi="Arial"/>
                <w:sz w:val="13"/>
                <w:szCs w:val="13"/>
                <w:color w:val="auto"/>
              </w:rPr>
              <w:t>Share-based compensation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2,676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Exchange of Class B Common Stock</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for Class A Common Stock</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(25,025)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 Letter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340"/>
              <w:spacing w:after="0"/>
              <w:rPr>
                <w:sz w:val="20"/>
                <w:szCs w:val="20"/>
                <w:color w:val="auto"/>
              </w:rPr>
            </w:pPr>
            <w:r>
              <w:rPr>
                <w:rFonts w:ascii="Arial" w:cs="Arial" w:eastAsia="Arial" w:hAnsi="Arial"/>
                <w:sz w:val="13"/>
                <w:szCs w:val="13"/>
                <w:color w:val="auto"/>
              </w:rPr>
              <w:t>Agreements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10,617,119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21,394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Letter Agreement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and warrants to purchase Class</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 Common Stock - related party</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(1,308)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149"/>
        </w:trPr>
        <w:tc>
          <w:tcPr>
            <w:tcW w:w="260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(52,873)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52,873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52,873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line="143" w:lineRule="exact"/>
              <w:rPr>
                <w:sz w:val="20"/>
                <w:szCs w:val="20"/>
                <w:color w:val="auto"/>
              </w:rPr>
            </w:pPr>
            <w:r>
              <w:rPr>
                <w:rFonts w:ascii="Arial" w:cs="Arial" w:eastAsia="Arial" w:hAnsi="Arial"/>
                <w:sz w:val="13"/>
                <w:szCs w:val="13"/>
                <w:b w:val="1"/>
                <w:bCs w:val="1"/>
                <w:color w:val="auto"/>
              </w:rPr>
              <w:t>Balances at December 31, 2018</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62,482</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20,347,065</w:t>
            </w: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150,595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(233,883)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(82,853)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(8,894)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(13,044)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(13,044)</w:t>
            </w:r>
          </w:p>
        </w:tc>
        <w:tc>
          <w:tcPr>
            <w:tcW w:w="0" w:type="dxa"/>
            <w:vAlign w:val="bottom"/>
          </w:tcPr>
          <w:p>
            <w:pPr>
              <w:spacing w:after="0"/>
              <w:rPr>
                <w:sz w:val="1"/>
                <w:szCs w:val="1"/>
                <w:color w:val="auto"/>
              </w:rPr>
            </w:pPr>
          </w:p>
        </w:tc>
      </w:tr>
      <w:tr>
        <w:trPr>
          <w:trHeight w:val="149"/>
        </w:trPr>
        <w:tc>
          <w:tcPr>
            <w:tcW w:w="2600" w:type="dxa"/>
            <w:vAlign w:val="bottom"/>
          </w:tcPr>
          <w:p>
            <w:pPr>
              <w:ind w:left="260"/>
              <w:spacing w:after="0"/>
              <w:rPr>
                <w:sz w:val="20"/>
                <w:szCs w:val="20"/>
                <w:color w:val="auto"/>
              </w:rPr>
            </w:pPr>
            <w:r>
              <w:rPr>
                <w:rFonts w:ascii="Arial" w:cs="Arial" w:eastAsia="Arial" w:hAnsi="Arial"/>
                <w:sz w:val="13"/>
                <w:szCs w:val="13"/>
                <w:color w:val="auto"/>
              </w:rPr>
              <w:t>Share-based compensation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under registered direct offering</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3,636,364</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5,406</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 Letter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340"/>
              <w:spacing w:after="0"/>
              <w:rPr>
                <w:sz w:val="20"/>
                <w:szCs w:val="20"/>
                <w:color w:val="auto"/>
              </w:rPr>
            </w:pPr>
            <w:r>
              <w:rPr>
                <w:rFonts w:ascii="Arial" w:cs="Arial" w:eastAsia="Arial" w:hAnsi="Arial"/>
                <w:sz w:val="13"/>
                <w:szCs w:val="13"/>
                <w:color w:val="auto"/>
              </w:rPr>
              <w:t>Agreements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16,923,427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27,331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87"/>
              </w:rPr>
              <w:t>Issuance of Letter Agreement and warrants to</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purchase Class A Common Stock -</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related party</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(992)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(992)</w:t>
            </w:r>
          </w:p>
        </w:tc>
        <w:tc>
          <w:tcPr>
            <w:tcW w:w="0" w:type="dxa"/>
            <w:vAlign w:val="bottom"/>
          </w:tcPr>
          <w:p>
            <w:pPr>
              <w:spacing w:after="0"/>
              <w:rPr>
                <w:sz w:val="1"/>
                <w:szCs w:val="1"/>
                <w:color w:val="auto"/>
              </w:rPr>
            </w:pPr>
          </w:p>
        </w:tc>
      </w:tr>
      <w:tr>
        <w:trPr>
          <w:trHeight w:val="149"/>
        </w:trPr>
        <w:tc>
          <w:tcPr>
            <w:tcW w:w="260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(13,405)</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13,405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line="143" w:lineRule="exact"/>
              <w:rPr>
                <w:sz w:val="20"/>
                <w:szCs w:val="20"/>
                <w:color w:val="auto"/>
              </w:rPr>
            </w:pPr>
            <w:r>
              <w:rPr>
                <w:rFonts w:ascii="Arial" w:cs="Arial" w:eastAsia="Arial" w:hAnsi="Arial"/>
                <w:sz w:val="13"/>
                <w:szCs w:val="13"/>
                <w:b w:val="1"/>
                <w:bCs w:val="1"/>
                <w:color w:val="auto"/>
              </w:rPr>
              <w:t>Balances at December 31, 2019</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40,183</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40,918,522</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183,858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(233,522)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(49,023)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80" w:type="dxa"/>
            <w:vAlign w:val="bottom"/>
            <w:gridSpan w:val="8"/>
          </w:tcPr>
          <w:p>
            <w:pPr>
              <w:jc w:val="right"/>
              <w:ind w:right="109"/>
              <w:spacing w:after="0"/>
              <w:rPr>
                <w:sz w:val="20"/>
                <w:szCs w:val="20"/>
                <w:color w:val="auto"/>
              </w:rPr>
            </w:pPr>
            <w:r>
              <w:rPr>
                <w:rFonts w:ascii="Arial" w:cs="Arial" w:eastAsia="Arial" w:hAnsi="Arial"/>
                <w:sz w:val="14"/>
                <w:szCs w:val="14"/>
                <w:b w:val="1"/>
                <w:bCs w:val="1"/>
                <w:color w:val="auto"/>
              </w:rPr>
              <w:t>Twelve Months Ended December 31,</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Net loss before noncontrolling interest</w:t>
            </w:r>
          </w:p>
        </w:tc>
        <w:tc>
          <w:tcPr>
            <w:tcW w:w="1580" w:type="dxa"/>
            <w:vAlign w:val="bottom"/>
            <w:gridSpan w:val="2"/>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99"/>
              </w:rPr>
              <w:t>(21,938)</w:t>
            </w: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(23,845)</w:t>
            </w:r>
          </w:p>
        </w:tc>
        <w:tc>
          <w:tcPr>
            <w:tcW w:w="440" w:type="dxa"/>
            <w:vAlign w:val="bottom"/>
            <w:gridSpan w:val="2"/>
            <w:shd w:val="clear" w:color="auto" w:fill="CFF0FC"/>
          </w:tcPr>
          <w:p>
            <w:pPr>
              <w:jc w:val="right"/>
              <w:ind w:right="22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(54,647)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ind w:left="100"/>
              <w:spacing w:after="0"/>
              <w:rPr>
                <w:sz w:val="20"/>
                <w:szCs w:val="20"/>
                <w:color w:val="auto"/>
              </w:rPr>
            </w:pPr>
            <w:r>
              <w:rPr>
                <w:rFonts w:ascii="Arial" w:cs="Arial" w:eastAsia="Arial" w:hAnsi="Arial"/>
                <w:sz w:val="14"/>
                <w:szCs w:val="14"/>
                <w:color w:val="auto"/>
              </w:rPr>
              <w:t>activities: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Gain on disposal of property and equipment, net</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Depreciation expense</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Share-based compensation expense</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Change in fair value of warrants, related party</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debt discount</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Accounts receivable</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Prepaid expenses and other assets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Long-term deposits</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(6,199)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Deferred revenue</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(1,755)</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(10,435)</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Other liabilities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7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(23,018)</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(26,856)</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(44,560)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sale of assets</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Purchases of property and equipment</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7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Proceeds from issuance of Class A Common Stock to a related party under the Letter</w:t>
            </w:r>
          </w:p>
        </w:tc>
        <w:tc>
          <w:tcPr>
            <w:tcW w:w="7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Agreements</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Proceeds from issuance of Class A Common Stock, net of offering costs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5,443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debt issuance</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Repayment of notes payable</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(10,573)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(5,388)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7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22,870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16,612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7,500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Net increase (decrease) in cash, cash equivalents and restricted cash and cash equivalents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(10,237)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(37,085)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year</w:t>
            </w:r>
          </w:p>
        </w:tc>
        <w:tc>
          <w:tcPr>
            <w:tcW w:w="72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14,420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51,505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60" w:type="dxa"/>
            <w:vAlign w:val="bottom"/>
            <w:gridSpan w:val="2"/>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year</w:t>
            </w:r>
          </w:p>
        </w:tc>
        <w:tc>
          <w:tcPr>
            <w:tcW w:w="720" w:type="dxa"/>
            <w:vAlign w:val="bottom"/>
          </w:tcPr>
          <w:p>
            <w:pPr>
              <w:spacing w:after="0"/>
              <w:rPr>
                <w:sz w:val="17"/>
                <w:szCs w:val="17"/>
                <w:color w:val="auto"/>
              </w:rPr>
            </w:pP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Supplemental cash flow information:</w:t>
            </w:r>
          </w:p>
        </w:tc>
        <w:tc>
          <w:tcPr>
            <w:tcW w:w="72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720" w:type="dxa"/>
            <w:vAlign w:val="bottom"/>
          </w:tcPr>
          <w:p>
            <w:pPr>
              <w:spacing w:after="0"/>
              <w:rPr>
                <w:sz w:val="17"/>
                <w:szCs w:val="17"/>
                <w:color w:val="auto"/>
              </w:rPr>
            </w:pP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2,276</w:t>
            </w:r>
          </w:p>
        </w:tc>
        <w:tc>
          <w:tcPr>
            <w:tcW w:w="160" w:type="dxa"/>
            <w:vAlign w:val="bottom"/>
          </w:tcPr>
          <w:p>
            <w:pPr>
              <w:spacing w:after="0"/>
              <w:rPr>
                <w:sz w:val="17"/>
                <w:szCs w:val="17"/>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tcBorders>
              <w:top w:val="single" w:sz="8" w:color="CFF0FC"/>
              <w:bottom w:val="single" w:sz="8" w:color="CFF0FC"/>
            </w:tcBorders>
            <w:shd w:val="clear" w:color="auto" w:fill="CFF0FC"/>
          </w:tcPr>
          <w:p>
            <w:pPr>
              <w:ind w:left="240"/>
              <w:spacing w:after="0" w:line="143" w:lineRule="exact"/>
              <w:rPr>
                <w:sz w:val="20"/>
                <w:szCs w:val="20"/>
                <w:color w:val="auto"/>
              </w:rPr>
            </w:pPr>
            <w:r>
              <w:rPr>
                <w:rFonts w:ascii="Arial" w:cs="Arial" w:eastAsia="Arial" w:hAnsi="Arial"/>
                <w:sz w:val="14"/>
                <w:szCs w:val="14"/>
                <w:color w:val="auto"/>
              </w:rPr>
              <w:t>Cash paid for income taxes</w:t>
            </w:r>
          </w:p>
        </w:tc>
        <w:tc>
          <w:tcPr>
            <w:tcW w:w="720" w:type="dxa"/>
            <w:vAlign w:val="bottom"/>
            <w:tcBorders>
              <w:top w:val="single" w:sz="8" w:color="CFF0FC"/>
              <w:bottom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jc w:val="right"/>
              <w:ind w:right="708"/>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100</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Non-cash activities:</w:t>
            </w:r>
          </w:p>
        </w:tc>
        <w:tc>
          <w:tcPr>
            <w:tcW w:w="7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Receipt of investment as partial consideration for license agreement</w:t>
            </w:r>
          </w:p>
        </w:tc>
        <w:tc>
          <w:tcPr>
            <w:tcW w:w="158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Right-of-use assets obtained in exchange for lease obligations</w:t>
            </w:r>
          </w:p>
        </w:tc>
        <w:tc>
          <w:tcPr>
            <w:tcW w:w="1580" w:type="dxa"/>
            <w:vAlign w:val="bottom"/>
            <w:gridSpan w:val="2"/>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jc w:val="right"/>
              <w:ind w:right="22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40"/>
              <w:spacing w:after="0"/>
              <w:rPr>
                <w:sz w:val="20"/>
                <w:szCs w:val="20"/>
                <w:color w:val="auto"/>
              </w:rPr>
            </w:pPr>
            <w:r>
              <w:rPr>
                <w:rFonts w:ascii="Arial" w:cs="Arial" w:eastAsia="Arial" w:hAnsi="Arial"/>
                <w:sz w:val="14"/>
                <w:szCs w:val="14"/>
                <w:color w:val="auto"/>
              </w:rPr>
              <w:t>Leasehold improvements obtained in exchange for lease obligations</w:t>
            </w:r>
          </w:p>
        </w:tc>
        <w:tc>
          <w:tcPr>
            <w:tcW w:w="158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384</w:t>
            </w:r>
          </w:p>
        </w:tc>
        <w:tc>
          <w:tcPr>
            <w:tcW w:w="160" w:type="dxa"/>
            <w:vAlign w:val="bottom"/>
          </w:tcPr>
          <w:p>
            <w:pPr>
              <w:spacing w:after="0"/>
              <w:rPr>
                <w:sz w:val="14"/>
                <w:szCs w:val="14"/>
                <w:color w:val="auto"/>
              </w:rPr>
            </w:pP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redemption value of noncontrolling interest</w:t>
            </w:r>
          </w:p>
        </w:tc>
        <w:tc>
          <w:tcPr>
            <w:tcW w:w="1580" w:type="dxa"/>
            <w:vAlign w:val="bottom"/>
            <w:gridSpan w:val="2"/>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99"/>
              </w:rPr>
              <w:t>(13,405)</w:t>
            </w: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(52,873)</w:t>
            </w:r>
          </w:p>
        </w:tc>
        <w:tc>
          <w:tcPr>
            <w:tcW w:w="440" w:type="dxa"/>
            <w:vAlign w:val="bottom"/>
            <w:gridSpan w:val="2"/>
            <w:shd w:val="clear" w:color="auto" w:fill="CFF0FC"/>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tcPr>
          <w:p>
            <w:pPr>
              <w:ind w:left="240"/>
              <w:spacing w:after="0" w:line="143" w:lineRule="exact"/>
              <w:rPr>
                <w:sz w:val="20"/>
                <w:szCs w:val="20"/>
                <w:color w:val="auto"/>
              </w:rPr>
            </w:pPr>
            <w:r>
              <w:rPr>
                <w:rFonts w:ascii="Arial" w:cs="Arial" w:eastAsia="Arial" w:hAnsi="Arial"/>
                <w:sz w:val="14"/>
                <w:szCs w:val="14"/>
                <w:color w:val="auto"/>
              </w:rPr>
              <w:t>Exchange of vTv Therapeutics Inc. Class B Common Stock and vTv Therapeutics, LLC</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ind w:left="340"/>
              <w:spacing w:after="0"/>
              <w:rPr>
                <w:sz w:val="20"/>
                <w:szCs w:val="20"/>
                <w:color w:val="auto"/>
              </w:rPr>
            </w:pPr>
            <w:r>
              <w:rPr>
                <w:rFonts w:ascii="Arial" w:cs="Arial" w:eastAsia="Arial" w:hAnsi="Arial"/>
                <w:sz w:val="14"/>
                <w:szCs w:val="14"/>
                <w:color w:val="auto"/>
              </w:rPr>
              <w:t>member units for vTv Therapeutics Inc. Class A Common Stock</w:t>
            </w:r>
          </w:p>
        </w:tc>
        <w:tc>
          <w:tcPr>
            <w:tcW w:w="158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151</w:t>
            </w:r>
          </w:p>
        </w:tc>
        <w:tc>
          <w:tcPr>
            <w:tcW w:w="16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Issuance of Letter Agreements and warrants to purchase vTv Therapeutics Inc. Class A</w:t>
            </w:r>
          </w:p>
        </w:tc>
        <w:tc>
          <w:tcPr>
            <w:tcW w:w="7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Common Stock to a related party</w:t>
            </w:r>
          </w:p>
        </w:tc>
        <w:tc>
          <w:tcPr>
            <w:tcW w:w="1580" w:type="dxa"/>
            <w:vAlign w:val="bottom"/>
            <w:gridSpan w:val="2"/>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1,308</w:t>
            </w:r>
          </w:p>
        </w:tc>
        <w:tc>
          <w:tcPr>
            <w:tcW w:w="1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vTv Therapeutics Inc. (the “Company,” the “Registrant,” “we” or “us”), was incorporated in the state of Delaware in April 2015. The Company is a clinical-stage pharmaceutical company focused on treating metabolic diseases to minimize their long-term complications through end-organ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700" w:firstLine="518"/>
        <w:spacing w:after="0" w:line="264"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biopharmaceutical company engaged in the discovery and development of orally administered small molecule drug candidates to fill significant unmet medical needs.</w:t>
      </w:r>
    </w:p>
    <w:p>
      <w:pPr>
        <w:spacing w:after="0" w:line="73"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Consolidated Financial Statements. Various holders own non-voting interests in vTv LLC, representing a 36.1% economic interest in vTv LLC, effectively restricting vTv Therapeutics Inc.’s interest to 63.9%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among the Company, vTv LLC and the holders of vTv Units party thereto (the “Exchange Agreement”). vTv Therapeutics Inc. has provided financial and other support to vTv LLC in the form of its purchase of vTv Units with the net proceeds of the IPO in 2015, its agreeing to be a co-borrower under the Venture Loan and Security Agreement (the “Loan Agreement”) with Horizon Technology Finance Corporation and Silicon Valley Bank (together, the “Lenders”) which was entered into in 2016 and its entrance into the letter agreements with MacAndrews and Forbes Group LLC (“M&amp;F Group”), a related party and an affiliate of MacAndrews &amp; Forbes Incorporated (together with its affiliates “MacAndrews”), in December 2017, July 2018, December 2018, March 2019, September 2019 and December 2019 (the “Letter Agreements”). vTv Therapeutics Inc. will not be required to provide financial or other support for vTv LLC outside of its obligations pertaining to the Loan Agreement as a co-borrower. However, vTv Therapeutics Inc. will control its business and other activities through its managing member interest in vTv LLC, and its management is the management of vTv LLC. The creditors of vTv LLC do not have any recourse to the general credit of vTv Therapeutics Inc. except as allowed under the provisions of the Loan Agreement. Nevertheless, because vTv Therapeutics Inc. will have no material assets other than its interests in vTv LLC, any financial difficulties at vTv LLC could result in vTv Therapeutics Inc. recognizing a loss.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To date, the Company has not generated any product revenue and has not achieved profitable operations. The continuing development of the Company’s drug candidates will require additional financing. From its inception through December 31, 2019, the Company has funded its operations primarily through a combination of debt and equity financings, research collaboration agreements, upfront and milestone payments for license agreements and private placements of preferred equity. As of December 31, 2019, the Company had an accumulated deficit of $233.5 million and has generated net losses in each year of its existence. The Company’s currently available sources of liquidity include the Company’s cash and cash equivalents balance as of December 31, 2019 of $1.8 million and the $10.0 million of remaining funds available under the Letter Agreements, which management believes will allow the Company to continue its operations and activities for a period of less than twelve months from the issuance of these Consolidated Financial Statements.</w:t>
      </w:r>
    </w:p>
    <w:p>
      <w:pPr>
        <w:spacing w:after="0" w:line="16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Based on the Company’s current operating plan, management believes that the current cash and cash equivalents and remaining funds under the Letter Agreements will allow the Company to meet its liquidity requirements into March 2020. These conditions raise substantial doubt about the Company’s ability to continue as a going concern. The Company is evaluating several financing strategies to fund its planned and ongoing clinical trials, including direct equity investments and future public offerings of our common stock. The timing and availability of such financing are not yet known.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ind w:right="40" w:firstLine="518"/>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On an ongoing basis, the Company evaluates its estimates, including those related to the grant date fair value of equity awards, the fair value of warrants to purchase shares of its Class A Common Stock, the fair value of its Class B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Four customers represented 100% of the revenue earned during the year ended December 31, 2019 and 2017. Three customers represented 100% of the revenue earned during the year ended December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any highly liquid investments with an original maturity of three months or less to be cash and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Restricted cash and cash equivalents, long-term relates to the minimum balance that the Company must maintain in a deposit account pledged to secure the Loan Agreement and subject to an account control agreement pursuant to the Loan Agreement, as amended.</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and 2018 that sum to the total of the same such amounts shown in the Consolidated Statements of Cash Flows (in thousands):</w:t>
      </w:r>
    </w:p>
    <w:p>
      <w:pPr>
        <w:spacing w:after="0" w:line="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1,777</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and cash equivalents, long-term</w:t>
            </w:r>
          </w:p>
        </w:tc>
        <w:tc>
          <w:tcPr>
            <w:tcW w:w="9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2,500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bottom w:val="single" w:sz="8" w:color="CFF0FC"/>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and cash</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equivalents shown in the consolidated statement of</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flows</w:t>
            </w:r>
          </w:p>
        </w:tc>
        <w:tc>
          <w:tcPr>
            <w:tcW w:w="1880" w:type="dxa"/>
            <w:vAlign w:val="bottom"/>
            <w:gridSpan w:val="2"/>
            <w:shd w:val="clear" w:color="auto" w:fill="CFF0FC"/>
          </w:tcPr>
          <w:p>
            <w:pPr>
              <w:jc w:val="right"/>
              <w:ind w:right="785"/>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4,277</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4,183</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 and Accounts Receivable</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majority of the Company’s collaboration revenue and accounts receivable relates to its agreements to license certain of its potential drug products for development. See Note 3 for further discussion of the Company’s collaboration agreements.</w:t>
      </w:r>
    </w:p>
    <w:p>
      <w:pPr>
        <w:spacing w:after="0" w:line="6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Accounts receivable are stated at net realizable value. On a periodic basis, the Company evaluates its accounts receivable and establishes an allowance based on its history of collections and write-offs and the current status of all receivables.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records property and equipment at cost less accumulated depreciation.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depreciated over the shorter of the useful life of the asset or the term of the related lease. Upon retirement or disposition of assets, the costs and related accumulated depreciation are removed from the accounts with the resulting gains or losses, if any, reflected in results of operations.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useful lives of property and equipment are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85"/>
        </w:trPr>
        <w:tc>
          <w:tcPr>
            <w:tcW w:w="2960" w:type="dxa"/>
            <w:vAlign w:val="bottom"/>
          </w:tcPr>
          <w:p>
            <w:pPr>
              <w:ind w:left="1300"/>
              <w:spacing w:after="0"/>
              <w:rPr>
                <w:sz w:val="20"/>
                <w:szCs w:val="20"/>
                <w:color w:val="auto"/>
              </w:rPr>
            </w:pPr>
            <w:r>
              <w:rPr>
                <w:rFonts w:ascii="Arial" w:cs="Arial" w:eastAsia="Arial" w:hAnsi="Arial"/>
                <w:sz w:val="14"/>
                <w:szCs w:val="14"/>
                <w:b w:val="1"/>
                <w:bCs w:val="1"/>
                <w:color w:val="auto"/>
              </w:rPr>
              <w:t>Asset Category</w:t>
            </w:r>
          </w:p>
        </w:tc>
        <w:tc>
          <w:tcPr>
            <w:tcW w:w="3880" w:type="dxa"/>
            <w:vAlign w:val="bottom"/>
          </w:tcPr>
          <w:p>
            <w:pPr>
              <w:jc w:val="center"/>
              <w:ind w:left="573"/>
              <w:spacing w:after="0"/>
              <w:rPr>
                <w:sz w:val="20"/>
                <w:szCs w:val="20"/>
                <w:color w:val="auto"/>
              </w:rPr>
            </w:pPr>
            <w:r>
              <w:rPr>
                <w:rFonts w:ascii="Arial" w:cs="Arial" w:eastAsia="Arial" w:hAnsi="Arial"/>
                <w:sz w:val="14"/>
                <w:szCs w:val="14"/>
                <w:b w:val="1"/>
                <w:bCs w:val="1"/>
                <w:color w:val="auto"/>
                <w:w w:val="94"/>
              </w:rPr>
              <w:t>Useful Life (in years)</w:t>
            </w:r>
          </w:p>
        </w:tc>
      </w:tr>
      <w:tr>
        <w:trPr>
          <w:trHeight w:val="24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3880" w:type="dxa"/>
            <w:vAlign w:val="bottom"/>
            <w:shd w:val="clear" w:color="auto" w:fill="CFF0FC"/>
          </w:tcPr>
          <w:p>
            <w:pPr>
              <w:jc w:val="center"/>
              <w:ind w:left="553"/>
              <w:spacing w:after="0"/>
              <w:rPr>
                <w:sz w:val="20"/>
                <w:szCs w:val="20"/>
                <w:color w:val="auto"/>
              </w:rPr>
            </w:pPr>
            <w:r>
              <w:rPr>
                <w:rFonts w:ascii="Arial" w:cs="Arial" w:eastAsia="Arial" w:hAnsi="Arial"/>
                <w:sz w:val="18"/>
                <w:szCs w:val="18"/>
                <w:color w:val="auto"/>
                <w:w w:val="79"/>
              </w:rPr>
              <w:t>7</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Computers and hardware</w:t>
            </w:r>
          </w:p>
        </w:tc>
        <w:tc>
          <w:tcPr>
            <w:tcW w:w="3880" w:type="dxa"/>
            <w:vAlign w:val="bottom"/>
          </w:tcPr>
          <w:p>
            <w:pPr>
              <w:jc w:val="center"/>
              <w:ind w:left="553"/>
              <w:spacing w:after="0"/>
              <w:rPr>
                <w:sz w:val="20"/>
                <w:szCs w:val="20"/>
                <w:color w:val="auto"/>
              </w:rPr>
            </w:pPr>
            <w:r>
              <w:rPr>
                <w:rFonts w:ascii="Arial" w:cs="Arial" w:eastAsia="Arial" w:hAnsi="Arial"/>
                <w:sz w:val="18"/>
                <w:szCs w:val="18"/>
                <w:color w:val="auto"/>
                <w:w w:val="92"/>
              </w:rPr>
              <w:t>3-5</w:t>
            </w:r>
          </w:p>
        </w:tc>
      </w:tr>
      <w:tr>
        <w:trPr>
          <w:trHeight w:val="256"/>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3880" w:type="dxa"/>
            <w:vAlign w:val="bottom"/>
            <w:shd w:val="clear" w:color="auto" w:fill="CFF0FC"/>
          </w:tcPr>
          <w:p>
            <w:pPr>
              <w:jc w:val="center"/>
              <w:ind w:left="553"/>
              <w:spacing w:after="0"/>
              <w:rPr>
                <w:sz w:val="20"/>
                <w:szCs w:val="20"/>
                <w:color w:val="auto"/>
              </w:rPr>
            </w:pPr>
            <w:r>
              <w:rPr>
                <w:rFonts w:ascii="Arial" w:cs="Arial" w:eastAsia="Arial" w:hAnsi="Arial"/>
                <w:sz w:val="18"/>
                <w:szCs w:val="18"/>
                <w:color w:val="auto"/>
                <w:w w:val="92"/>
              </w:rPr>
              <w:t>3-7</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Software</w:t>
            </w:r>
          </w:p>
        </w:tc>
        <w:tc>
          <w:tcPr>
            <w:tcW w:w="3880" w:type="dxa"/>
            <w:vAlign w:val="bottom"/>
          </w:tcPr>
          <w:p>
            <w:pPr>
              <w:jc w:val="center"/>
              <w:ind w:left="553"/>
              <w:spacing w:after="0"/>
              <w:rPr>
                <w:sz w:val="20"/>
                <w:szCs w:val="20"/>
                <w:color w:val="auto"/>
              </w:rPr>
            </w:pPr>
            <w:r>
              <w:rPr>
                <w:rFonts w:ascii="Arial" w:cs="Arial" w:eastAsia="Arial" w:hAnsi="Arial"/>
                <w:sz w:val="18"/>
                <w:szCs w:val="18"/>
                <w:color w:val="auto"/>
                <w:w w:val="79"/>
              </w:rPr>
              <w:t>3</w:t>
            </w:r>
          </w:p>
        </w:tc>
      </w:tr>
      <w:tr>
        <w:trPr>
          <w:trHeight w:val="228"/>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880" w:type="dxa"/>
            <w:vAlign w:val="bottom"/>
            <w:shd w:val="clear" w:color="auto" w:fill="CFF0FC"/>
          </w:tcPr>
          <w:p>
            <w:pPr>
              <w:jc w:val="center"/>
              <w:ind w:left="553"/>
              <w:spacing w:after="0"/>
              <w:rPr>
                <w:sz w:val="20"/>
                <w:szCs w:val="20"/>
                <w:color w:val="auto"/>
              </w:rPr>
            </w:pPr>
            <w:r>
              <w:rPr>
                <w:rFonts w:ascii="Arial" w:cs="Arial" w:eastAsia="Arial" w:hAnsi="Arial"/>
                <w:sz w:val="18"/>
                <w:szCs w:val="18"/>
                <w:color w:val="auto"/>
                <w:w w:val="93"/>
              </w:rPr>
              <w:t>Shorter of useful life or remaining term of</w:t>
            </w:r>
          </w:p>
        </w:tc>
      </w:tr>
      <w:tr>
        <w:trPr>
          <w:trHeight w:val="244"/>
        </w:trPr>
        <w:tc>
          <w:tcPr>
            <w:tcW w:w="2960" w:type="dxa"/>
            <w:vAlign w:val="bottom"/>
            <w:shd w:val="clear" w:color="auto" w:fill="CFF0FC"/>
          </w:tcPr>
          <w:p>
            <w:pPr>
              <w:spacing w:after="0"/>
              <w:rPr>
                <w:sz w:val="21"/>
                <w:szCs w:val="21"/>
                <w:color w:val="auto"/>
              </w:rPr>
            </w:pPr>
          </w:p>
        </w:tc>
        <w:tc>
          <w:tcPr>
            <w:tcW w:w="3880" w:type="dxa"/>
            <w:vAlign w:val="bottom"/>
            <w:shd w:val="clear" w:color="auto" w:fill="CFF0FC"/>
          </w:tcPr>
          <w:p>
            <w:pPr>
              <w:jc w:val="center"/>
              <w:ind w:left="553"/>
              <w:spacing w:after="0"/>
              <w:rPr>
                <w:sz w:val="20"/>
                <w:szCs w:val="20"/>
                <w:color w:val="auto"/>
              </w:rPr>
            </w:pPr>
            <w:r>
              <w:rPr>
                <w:rFonts w:ascii="Arial" w:cs="Arial" w:eastAsia="Arial" w:hAnsi="Arial"/>
                <w:sz w:val="18"/>
                <w:szCs w:val="18"/>
                <w:color w:val="auto"/>
                <w:w w:val="83"/>
              </w:rPr>
              <w:t>lease</w:t>
            </w:r>
          </w:p>
        </w:tc>
      </w:tr>
    </w:tbl>
    <w:p>
      <w:pPr>
        <w:spacing w:after="0" w:line="202" w:lineRule="exact"/>
        <w:rPr>
          <w:sz w:val="20"/>
          <w:szCs w:val="20"/>
          <w:color w:val="auto"/>
        </w:rPr>
      </w:pPr>
    </w:p>
    <w:p>
      <w:pPr>
        <w:ind w:right="140" w:firstLine="560"/>
        <w:spacing w:after="0" w:line="286" w:lineRule="auto"/>
        <w:rPr>
          <w:sz w:val="20"/>
          <w:szCs w:val="20"/>
          <w:color w:val="auto"/>
        </w:rPr>
      </w:pPr>
      <w:r>
        <w:rPr>
          <w:rFonts w:ascii="Arial" w:cs="Arial" w:eastAsia="Arial" w:hAnsi="Arial"/>
          <w:sz w:val="17"/>
          <w:szCs w:val="17"/>
          <w:color w:val="auto"/>
        </w:rPr>
        <w:t>The Company periodically assesses it property and equipment and other long-lived assets for impairment in accordance with the relevant accounting guidance and recorded an impairment charge of $0.1 million during the year ended December 31, 2018. No such charges were recognized during the years ended December 31, 2019 or 2017. There were no assets held for sale at December 31, 2019 or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60" w:firstLine="571"/>
        <w:spacing w:after="0" w:line="302" w:lineRule="auto"/>
        <w:rPr>
          <w:sz w:val="20"/>
          <w:szCs w:val="20"/>
          <w:color w:val="auto"/>
        </w:rPr>
      </w:pPr>
      <w:r>
        <w:rPr>
          <w:rFonts w:ascii="Arial" w:cs="Arial" w:eastAsia="Arial" w:hAnsi="Arial"/>
          <w:sz w:val="16"/>
          <w:szCs w:val="16"/>
          <w:color w:val="auto"/>
        </w:rPr>
        <w:t>In connection with the Reneo License Agreement, the Company received common stock and certain participation rights representing a minority equity interest in Reneo that is classified as a long-term investment in the Company’s Consolidated Balance Sheet as of December 31, 2017. Upon acquisition, on December 21, 2017, this investment was recognized at its fair value of $2.5 million. This investment is accounted for under the cost method because the Company owns less than 20% of the voting equity and does not have the ability to exercise significant influence over Reneo.</w:t>
      </w:r>
    </w:p>
    <w:p>
      <w:pPr>
        <w:spacing w:after="0" w:line="46" w:lineRule="exact"/>
        <w:rPr>
          <w:sz w:val="20"/>
          <w:szCs w:val="20"/>
          <w:color w:val="auto"/>
        </w:rPr>
      </w:pPr>
    </w:p>
    <w:p>
      <w:pPr>
        <w:ind w:right="260" w:firstLine="571"/>
        <w:spacing w:after="0" w:line="279" w:lineRule="auto"/>
        <w:rPr>
          <w:sz w:val="20"/>
          <w:szCs w:val="20"/>
          <w:color w:val="auto"/>
        </w:rPr>
      </w:pPr>
      <w:r>
        <w:rPr>
          <w:rFonts w:ascii="Arial" w:cs="Arial" w:eastAsia="Arial" w:hAnsi="Arial"/>
          <w:sz w:val="17"/>
          <w:szCs w:val="17"/>
          <w:color w:val="auto"/>
        </w:rPr>
        <w:t>On January 1, 2018, the Company adopted ASU No. 2016-01, “Recognition and Measurement of Financial Assets and Financial Liabilities”. This guidance requires equity investments to be measured at fair value with changes in fair value recognized in net income. Since it does not have a readily determinable market value, the Company has elected to measure its investment in Reneo at cost minus impairment, if any, plus or minus changes resulting from observable price changes in orderly transactions for the identical or similar investment.</w:t>
      </w:r>
    </w:p>
    <w:p>
      <w:pPr>
        <w:spacing w:after="0" w:line="63" w:lineRule="exact"/>
        <w:rPr>
          <w:sz w:val="20"/>
          <w:szCs w:val="20"/>
          <w:color w:val="auto"/>
        </w:rPr>
      </w:pPr>
    </w:p>
    <w:p>
      <w:pPr>
        <w:ind w:right="600" w:firstLine="571"/>
        <w:spacing w:after="0" w:line="277" w:lineRule="auto"/>
        <w:rPr>
          <w:sz w:val="20"/>
          <w:szCs w:val="20"/>
          <w:color w:val="auto"/>
        </w:rPr>
      </w:pPr>
      <w:r>
        <w:rPr>
          <w:rFonts w:ascii="Arial" w:cs="Arial" w:eastAsia="Arial" w:hAnsi="Arial"/>
          <w:sz w:val="18"/>
          <w:szCs w:val="18"/>
          <w:color w:val="auto"/>
        </w:rPr>
        <w:t>No adjustments have been made to the value of the Company’s investment in Reneo since its acquisition either due to impairment or based on observable price changes.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On January 1, 2018, the Company adopted ASC Topic 606, “Revenue From Contracts With Customers” (“ASC Topic 606”), using the modified retrospective method applied to those contracts which were not completed as of the adoption date. Results for reporting periods beginning after January 1, 2018 are presented under ASC Topic 606, while prior period amounts are not adjusted and continue to be reported in accordance with the Company’s historic accounting under ASC Topic 605.</w:t>
      </w:r>
    </w:p>
    <w:p>
      <w:pPr>
        <w:spacing w:after="0" w:line="79"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The Company recorded a net reduction to its opening accumulated deficit of $0.2 million as of January 1, 2018 due to the cumulative impact of adopting ASC Topic 606. This impact related to the recognition of an asset for the incremental costs of obtaining contracts.</w:t>
      </w:r>
    </w:p>
    <w:p>
      <w:pPr>
        <w:spacing w:after="0" w:line="38"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2" w:name="page103"/>
    <w:bookmarkEnd w:id="102"/>
    <w:p>
      <w:pPr>
        <w:spacing w:after="0" w:line="257" w:lineRule="auto"/>
        <w:rPr>
          <w:sz w:val="20"/>
          <w:szCs w:val="20"/>
          <w:color w:val="auto"/>
        </w:rPr>
      </w:pPr>
      <w:r>
        <w:rPr>
          <w:rFonts w:ascii="Arial" w:cs="Arial" w:eastAsia="Arial" w:hAnsi="Arial"/>
          <w:sz w:val="18"/>
          <w:szCs w:val="18"/>
          <w:color w:val="auto"/>
        </w:rPr>
        <w:t>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79" w:lineRule="exact"/>
        <w:rPr>
          <w:sz w:val="20"/>
          <w:szCs w:val="20"/>
          <w:color w:val="auto"/>
        </w:rPr>
      </w:pPr>
    </w:p>
    <w:p>
      <w:pPr>
        <w:ind w:left="1040" w:hanging="519"/>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1—Observable inputs that reflect quoted market prices (unadjusted) for identical assets or liabilities in active markets;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 active markets that are observable either directly or indirectly in the marketplace for identical or similar assets and liabilities;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data, which require the Company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Major components of research and development costs include cash compensation, depreciation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spacing w:after="0" w:line="7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70"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The Company records nonrefundable advance payments it makes for future research and development activities as prepaid expenses. Prepaid expenses are recognized as expense in the Consolidated Statements of Operations as the Company receives the related goods or services.</w:t>
      </w:r>
    </w:p>
    <w:p>
      <w:pPr>
        <w:spacing w:after="0" w:line="38"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Patent costs, including related legal costs, are expensed as incurred and recorded within general and administrative operating expenses on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From its formation on August 1, 2015, vTv Therapeutics Inc. has been subject to corporate level income taxes. Prior to July 30, 2015, the Company’s predecessor entities were taxed as partnerships and all their income and deductions flowed through and were subject to tax at the partner level.</w:t>
      </w:r>
    </w:p>
    <w:p>
      <w:pPr>
        <w:spacing w:after="0" w:line="16"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vTv Therapeutics Inc. is required to recognize deferred tax assets and liabilities for the difference between the financial reporting and tax basis of its investment in vTv LLC.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3" w:name="page104"/>
    <w:bookmarkEnd w:id="103"/>
    <w:p>
      <w:pPr>
        <w:ind w:right="20" w:firstLine="518"/>
        <w:spacing w:after="0" w:line="264" w:lineRule="auto"/>
        <w:rPr>
          <w:sz w:val="20"/>
          <w:szCs w:val="20"/>
          <w:color w:val="auto"/>
        </w:rPr>
      </w:pPr>
      <w:r>
        <w:rPr>
          <w:rFonts w:ascii="Arial" w:cs="Arial" w:eastAsia="Arial" w:hAnsi="Arial"/>
          <w:sz w:val="18"/>
          <w:szCs w:val="18"/>
          <w:color w:val="auto"/>
        </w:rPr>
        <w:t>The Company’s income tax expense, deferred tax assets and liabilities and reserves for unrecognized tax benefits reflect management’s best assessment of estimated future taxes to be paid. The Company is subject to income taxes in both the United States and various state jurisdictions. Significant judgments and estimates are required in determining the consolidated income tax expense.</w:t>
      </w:r>
    </w:p>
    <w:p>
      <w:pPr>
        <w:spacing w:after="0" w:line="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included in the financial statements. Under this method, the Company determines deferred tax assets and liabilities on the basis of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80"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The Company recognizes deferred tax assets to the extent it believes these assets are more-likely-than-not to be realized. In making such a determination, the Company considers all available positive and negative evidence, including future reversals of existing taxable temporary differences, projected future taxable income, tax planning strategies and recent results of operations.</w:t>
      </w:r>
    </w:p>
    <w:p>
      <w:pPr>
        <w:spacing w:after="0" w:line="73"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The Company records uncertain tax positions on the basis of a two-step process in which (1) it determines whether it is more-likely-than-not that the tax positions will be sustained on the basis of the technical merits of the position and (2) for those tax positions meeting the more-likely-than-not recognition threshold, it recognizes the largest amount of tax benefit that is more than 50% likely to be realized upon ultimate settlement with the related tax authority.</w:t>
      </w:r>
    </w:p>
    <w:p>
      <w:pPr>
        <w:spacing w:after="0" w:line="39"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Interest and penalties related to income taxes are included in the benefit (provision) for income taxes in the Company’s Consolidated Statements of Operations. The Company has not incurred any significant interest or penalties related to income taxes in any of the periods presented.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Company records the redeemable noncontrolling interest represented by the vTv Units and the Class B Common stock at the higher of (1) its initial fair value plus accumulated earnings/losses associated with the noncontrolling interest or (2) the redemption value as of the balance sheet date. See discussion and additional detail of the redeemable noncontrolling interest at Note 12.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Operating segments are defined as an enterprise’s components (business activities from which it earns revenue and incurs expenses) for which discrete financial information is (1) available; and (2) is regularly reviewed by the chief operating decision maker (“CODM”) in deciding how to allocate resources and in assessing performance. The Company’s CODM is its President and Chief Executive Officer. The Company’s business operates in one reportable segment comprised of one operating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Company determines if an arrangement is a lease at inception. Balances recognized related to operating leases are included in operating lease right-of-use assets and operating lease liabilities in the Consolidated Balance Sheets. Operating lease right-of-use assets and operating lease liabilities are recognized based on the present value of the future minimum lease payments over the lease term at commencement date. Lease terms may include options to extend of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operating lease right-of-use asset also includes any lease payments made and excludes lease incentives and initial direct costs incurred. The Company has elected a practical expedient to not separate its lease and non-lease components and instead account for them as a single lease component.</w:t>
      </w:r>
    </w:p>
    <w:p>
      <w:pPr>
        <w:spacing w:after="0" w:line="84"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00" w:firstLine="518"/>
        <w:spacing w:after="0" w:line="284" w:lineRule="auto"/>
        <w:rPr>
          <w:sz w:val="20"/>
          <w:szCs w:val="20"/>
          <w:color w:val="auto"/>
        </w:rPr>
      </w:pPr>
      <w:r>
        <w:rPr>
          <w:rFonts w:ascii="Arial" w:cs="Arial" w:eastAsia="Arial" w:hAnsi="Arial"/>
          <w:sz w:val="16"/>
          <w:szCs w:val="16"/>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Due to the lack of sufficient historical trading information with respect to its own shares, the Company estimates expected volatility based on the historical volatility of its own stock as well as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14.D.2. The fair value of restricted stock units (“RSU”) grants are based on the market value of the Class A Common Stock on the date of</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color w:val="auto"/>
        </w:rPr>
        <w:t>grant. The Company also estimates the amount of share-based awards that are expected to be forfeited based on historical employee turnover rates.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does not have any components of other comprehensive income recorded within its Consolidated Financial Statements, and, therefore, does not separately present a statement of comprehensive income in its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February 2016, the FASB issued ASU No. 2016-02, “Lease (Topic 842)” (“ASU 2016-02”), which increases transparency and comparability among companies accounting for lease transactions. The Company adopted this guidance effective January 1, 2019 using a modified retrospective application and recorded a cumulative-effect adjustment at the beginning of the period of adoption. The adoption resulted in the recognition of $0.3 million of additional assets and liabilities related to the Company’s operating leases within its Condensed Consolidated Balance Sheets. See Note 8 for further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Reneo License Agreement</w:t>
      </w:r>
    </w:p>
    <w:p>
      <w:pPr>
        <w:spacing w:after="0" w:line="117" w:lineRule="exact"/>
        <w:rPr>
          <w:sz w:val="20"/>
          <w:szCs w:val="20"/>
          <w:color w:val="auto"/>
        </w:rPr>
      </w:pPr>
    </w:p>
    <w:p>
      <w:pPr>
        <w:ind w:right="40" w:firstLine="476"/>
        <w:spacing w:after="0" w:line="270" w:lineRule="auto"/>
        <w:rPr>
          <w:sz w:val="20"/>
          <w:szCs w:val="20"/>
          <w:color w:val="auto"/>
        </w:rPr>
      </w:pPr>
      <w:r>
        <w:rPr>
          <w:rFonts w:ascii="Arial" w:cs="Arial" w:eastAsia="Arial" w:hAnsi="Arial"/>
          <w:sz w:val="17"/>
          <w:szCs w:val="17"/>
          <w:color w:val="auto"/>
        </w:rPr>
        <w:t xml:space="preserve">On December 21, 2017, the Company entered into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 Under the terms of the Reneo License Agreement, Reneo paid the Company an</w:t>
      </w:r>
      <w:r>
        <w:rPr>
          <w:rFonts w:ascii="Arial" w:cs="Arial" w:eastAsia="Arial" w:hAnsi="Arial"/>
          <w:sz w:val="17"/>
          <w:szCs w:val="17"/>
          <w:i w:val="1"/>
          <w:iCs w:val="1"/>
          <w:color w:val="auto"/>
        </w:rPr>
        <w:t xml:space="preserve"> </w:t>
      </w:r>
      <w:r>
        <w:rPr>
          <w:rFonts w:ascii="Arial" w:cs="Arial" w:eastAsia="Arial" w:hAnsi="Arial"/>
          <w:sz w:val="17"/>
          <w:szCs w:val="17"/>
          <w:color w:val="auto"/>
        </w:rPr>
        <w:t>upfront cash payment of $3.0 million. The Company is eligible to receive additional potential development, regulatory and sales-based milestone payments totaling up to $94.5 million. In addition, Reneo is obligated to pay the Company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has also received common stock and certain participation rights representing a minority equity interest in Reneo.</w:t>
      </w:r>
    </w:p>
    <w:p>
      <w:pPr>
        <w:spacing w:after="0" w:line="74" w:lineRule="exact"/>
        <w:rPr>
          <w:sz w:val="20"/>
          <w:szCs w:val="20"/>
          <w:color w:val="auto"/>
        </w:rPr>
      </w:pPr>
    </w:p>
    <w:p>
      <w:pPr>
        <w:ind w:right="20" w:firstLine="476"/>
        <w:spacing w:after="0" w:line="272" w:lineRule="auto"/>
        <w:rPr>
          <w:sz w:val="20"/>
          <w:szCs w:val="20"/>
          <w:color w:val="auto"/>
        </w:rPr>
      </w:pPr>
      <w:r>
        <w:rPr>
          <w:rFonts w:ascii="Arial" w:cs="Arial" w:eastAsia="Arial" w:hAnsi="Arial"/>
          <w:sz w:val="17"/>
          <w:szCs w:val="17"/>
          <w:color w:val="auto"/>
        </w:rPr>
        <w:t>Pursuant to the terms of the Reneo License Agreement, the Company is required to provide technology transfer services for a defined period after the effective date. In accordance with ASC Topic 606, the Company identified all of the performance obligations at the inception of the Reneo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The remaining milestone payments that the Company is eligible to receive have not been included in the transaction price as of December 31, 2019, as it is not considered probable that such payments will be received. The revenue related to this performance obligation has been fully recognized as of December 31, 2019.</w:t>
      </w:r>
    </w:p>
    <w:p>
      <w:pPr>
        <w:spacing w:after="0" w:line="70" w:lineRule="exact"/>
        <w:rPr>
          <w:sz w:val="20"/>
          <w:szCs w:val="20"/>
          <w:color w:val="auto"/>
        </w:rPr>
      </w:pPr>
    </w:p>
    <w:p>
      <w:pPr>
        <w:ind w:right="20" w:firstLine="476"/>
        <w:spacing w:after="0" w:line="279" w:lineRule="auto"/>
        <w:rPr>
          <w:sz w:val="20"/>
          <w:szCs w:val="20"/>
          <w:color w:val="auto"/>
        </w:rPr>
      </w:pPr>
      <w:r>
        <w:rPr>
          <w:rFonts w:ascii="Arial" w:cs="Arial" w:eastAsia="Arial" w:hAnsi="Arial"/>
          <w:sz w:val="17"/>
          <w:szCs w:val="17"/>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As of December 31, 2019, revenue allocated to this performance obligation has been fully recognized. For the years ended December 31, 2019, 2018 and 2017, $1.7 million, $3.7 million and $0.1 million of revenue has been recognized related to this combined performance obligation,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Huadong License Agreement</w:t>
      </w:r>
    </w:p>
    <w:p>
      <w:pPr>
        <w:spacing w:after="0" w:line="117" w:lineRule="exact"/>
        <w:rPr>
          <w:sz w:val="20"/>
          <w:szCs w:val="20"/>
          <w:color w:val="auto"/>
        </w:rPr>
      </w:pPr>
    </w:p>
    <w:p>
      <w:pPr>
        <w:ind w:right="80" w:firstLine="476"/>
        <w:spacing w:after="0" w:line="270" w:lineRule="auto"/>
        <w:rPr>
          <w:sz w:val="20"/>
          <w:szCs w:val="20"/>
          <w:color w:val="auto"/>
        </w:rPr>
      </w:pPr>
      <w:r>
        <w:rPr>
          <w:rFonts w:ascii="Arial" w:cs="Arial" w:eastAsia="Arial" w:hAnsi="Arial"/>
          <w:sz w:val="17"/>
          <w:szCs w:val="17"/>
          <w:color w:val="auto"/>
        </w:rPr>
        <w:t xml:space="preserve">On December 21, 2017, the Company entered into a License Agreement with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7"/>
          <w:szCs w:val="17"/>
          <w:i w:val="1"/>
          <w:iCs w:val="1"/>
          <w:color w:val="auto"/>
        </w:rPr>
        <w:t>TTP273</w:t>
      </w:r>
      <w:r>
        <w:rPr>
          <w:rFonts w:ascii="Arial" w:cs="Arial" w:eastAsia="Arial" w:hAnsi="Arial"/>
          <w:sz w:val="17"/>
          <w:szCs w:val="17"/>
          <w:color w:val="auto"/>
        </w:rPr>
        <w:t>, for therapeutic uses in humans or animals, in China and certain other Pacific Rim territories,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 Under the terms of the Huadong License Agreement, Huadong paid the Company an initial license fee of $8.0 million and is obligated to pay potential development and regulatory milestone payments totaling up to $25.0 million, with an additional potential regulatory milestone of $20.0 million if Huadong receives regulatory approval for a central nervous system indication. In addition, the Company is eligible for an additional $50.0 million in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t>potential sales-based milestones, as well as royalty payments ranging from low-single to low-double digit rates, based on tiered sales of licensed products.</w:t>
      </w:r>
    </w:p>
    <w:p>
      <w:pPr>
        <w:spacing w:after="0" w:line="140"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 xml:space="preserve">Under the Huadong License Agreement, the Company also has the obligation to conduct a Phase 2 multi-region clinical trial (the “Phase 2 MRCT”), should Huadong require it to do so. If conducted, the Phase 2 MRCT will include sites in both the United States and Huadong License Territory for the purpose of assessing the safety and efficacy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in patients with type 2 diabetes and will be designed to satisfy the requirements of the China Food and Drug Administration necessary in order for Huadong to begin a Phase 3 clinical trial in China. The Company will be responsible for contributing up to $3.0 million in connection with the Phase 2 MRCT.</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accordance with ASC Topic 606, the Company identified all of the performance obligations at the inception of the Huadong License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Agreement. The significant performance obligations were determined to be (i) the exclusive license to develop and commercialize the Company’s GLP-1r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program, (ii) technology transfer services related to the chemistry and manufacturing know-how for a defined period after the effective date (iii)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 to sponsor and conduct the Phase 2 MRCT, (iv) the Company’s obligation to participate on a joint development committee, and (v)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 considered to be de minimis in nature.</w:t>
      </w:r>
    </w:p>
    <w:p>
      <w:pPr>
        <w:spacing w:after="0" w:line="103" w:lineRule="exact"/>
        <w:rPr>
          <w:sz w:val="20"/>
          <w:szCs w:val="20"/>
          <w:color w:val="auto"/>
        </w:rPr>
      </w:pPr>
    </w:p>
    <w:p>
      <w:pPr>
        <w:jc w:val="both"/>
        <w:ind w:right="80" w:firstLine="476"/>
        <w:spacing w:after="0" w:line="264" w:lineRule="auto"/>
        <w:rPr>
          <w:sz w:val="20"/>
          <w:szCs w:val="20"/>
          <w:color w:val="auto"/>
        </w:rPr>
      </w:pPr>
      <w:r>
        <w:rPr>
          <w:rFonts w:ascii="Arial" w:cs="Arial" w:eastAsia="Arial" w:hAnsi="Arial"/>
          <w:sz w:val="18"/>
          <w:szCs w:val="18"/>
          <w:color w:val="auto"/>
        </w:rPr>
        <w:t>The transaction price has been allocated to these performance obligations based on their relative standalone selling prices, which were estimated using an expected cost plus margin approach. The remaining milestone payments that the Company is eligible to receive have not been included in the transaction price as of December 31, 2019, as it is not considered probable that such payments will be received.</w:t>
      </w:r>
    </w:p>
    <w:p>
      <w:pPr>
        <w:spacing w:after="0" w:line="73" w:lineRule="exact"/>
        <w:rPr>
          <w:sz w:val="20"/>
          <w:szCs w:val="20"/>
          <w:color w:val="auto"/>
        </w:rPr>
      </w:pPr>
    </w:p>
    <w:p>
      <w:pPr>
        <w:ind w:firstLine="476"/>
        <w:spacing w:after="0" w:line="271" w:lineRule="auto"/>
        <w:rPr>
          <w:sz w:val="20"/>
          <w:szCs w:val="20"/>
          <w:color w:val="auto"/>
        </w:rPr>
      </w:pPr>
      <w:r>
        <w:rPr>
          <w:rFonts w:ascii="Arial" w:cs="Arial" w:eastAsia="Arial" w:hAnsi="Arial"/>
          <w:sz w:val="17"/>
          <w:szCs w:val="17"/>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determined that the straight-line method would be used to recognize revenue for this performance obligation over the transfer service period. In November 2018, the Company received notification from Huadong that the Company had satisfied its obligations related to the technology transfer services. As such, this performance obligation is considered complete as of December 31, 2018 and all of revenue associated with it has been recognized. For the years ended December 31, 2018 and 2017, $6.8 million and $0.1 million of revenue has been recognized related to this combined performance obligation, respectively. No such revenue was recognized for the year ended December 31, 2019.</w:t>
      </w:r>
    </w:p>
    <w:p>
      <w:pPr>
        <w:spacing w:after="0" w:line="71" w:lineRule="exact"/>
        <w:rPr>
          <w:sz w:val="20"/>
          <w:szCs w:val="20"/>
          <w:color w:val="auto"/>
        </w:rPr>
      </w:pPr>
    </w:p>
    <w:p>
      <w:pPr>
        <w:ind w:right="140" w:firstLine="476"/>
        <w:spacing w:after="0" w:line="255" w:lineRule="auto"/>
        <w:rPr>
          <w:sz w:val="20"/>
          <w:szCs w:val="20"/>
          <w:color w:val="auto"/>
        </w:rPr>
      </w:pPr>
      <w:r>
        <w:rPr>
          <w:rFonts w:ascii="Arial" w:cs="Arial" w:eastAsia="Arial" w:hAnsi="Arial"/>
          <w:sz w:val="18"/>
          <w:szCs w:val="18"/>
          <w:color w:val="auto"/>
        </w:rPr>
        <w:t>The Company also determined that the obligation to sponsor and conduct a portion of the Phase 2 MRCT should be treated as a separate performance obligation. A portion of the total consideration received under the Huadong License Agreement was allocated to this performance obligation based on its estimated standalone selling price. Since the Company has not yet begun the Phase 2 MRCT trial, the entire amount remains deferred as of December 31, 2019 and revenue will be recognized using the proportional performance model over the period during which the Company conducts the Phase 2 MRCT trial. The unrecognized amount of the transaction price allocated to this performance obligation as of December 31, 2019 was $1.0 million. No revenue for this performance obligation has been recognized as of December 31, 2019. The expectation of when, or if, the Phase 2 MRCT trial will begin remains indeterminate.</w:t>
      </w:r>
    </w:p>
    <w:p>
      <w:pPr>
        <w:spacing w:after="0" w:line="81" w:lineRule="exact"/>
        <w:rPr>
          <w:sz w:val="20"/>
          <w:szCs w:val="20"/>
          <w:color w:val="auto"/>
        </w:rPr>
      </w:pPr>
    </w:p>
    <w:p>
      <w:pPr>
        <w:ind w:right="20" w:firstLine="476"/>
        <w:spacing w:after="0" w:line="291" w:lineRule="auto"/>
        <w:rPr>
          <w:sz w:val="20"/>
          <w:szCs w:val="20"/>
          <w:color w:val="auto"/>
        </w:rPr>
      </w:pPr>
      <w:r>
        <w:rPr>
          <w:rFonts w:ascii="Arial" w:cs="Arial" w:eastAsia="Arial" w:hAnsi="Arial"/>
          <w:sz w:val="16"/>
          <w:szCs w:val="16"/>
          <w:color w:val="auto"/>
        </w:rPr>
        <w:t>The Company also determined that the obligation to participate in the joint development committee (the “JDC”) to oversee the development of products and the Phase 2 MRCT in accordance with the development plan should be treated as a separate performance obligation. A portion of the total consideration received under the Huadong License Agreement was allocated to this performance obligation based on its estimated standalone selling price. A portion of this amount remains deferred as of December 31, 2019 and revenue will be recognized using the proportional performance model over the period of the Company’s participation on the JDC. An immaterial amount of revenue for this performance obligation has been recognized during the year ended December 31, 2019. The unrecognized amount of the transaction price allocated to this performance obligation as of December 31, 2019 was $0.1 million. An immaterial amount of revenue was recognized for this performance obligation for the years ended December 31, 2019 and 2018.</w:t>
      </w:r>
    </w:p>
    <w:p>
      <w:pPr>
        <w:spacing w:after="0" w:line="59" w:lineRule="exact"/>
        <w:rPr>
          <w:sz w:val="20"/>
          <w:szCs w:val="20"/>
          <w:color w:val="auto"/>
        </w:rPr>
      </w:pPr>
    </w:p>
    <w:p>
      <w:pPr>
        <w:ind w:right="40" w:firstLine="476"/>
        <w:spacing w:after="0" w:line="277" w:lineRule="auto"/>
        <w:rPr>
          <w:sz w:val="20"/>
          <w:szCs w:val="20"/>
          <w:color w:val="auto"/>
        </w:rPr>
      </w:pPr>
      <w:r>
        <w:rPr>
          <w:rFonts w:ascii="Arial" w:cs="Arial" w:eastAsia="Arial" w:hAnsi="Arial"/>
          <w:sz w:val="18"/>
          <w:szCs w:val="18"/>
          <w:color w:val="auto"/>
        </w:rPr>
        <w:t>There have been no adjustments to the transaction price for the performance obligations under the Huadong License Agreement during the years ended December 31, 2019, 2018 and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Newsoara License Agreement</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May 31, 2018, the Company entered into a license agreement with Newsoara Biopharma Co., Ltd., (“Newsoara”) (the “Newsoara License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under which Newsoara obtained an exclusive and sublicensable license to develop and commercialize the Company’s phosphodiesterase type 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inhibitors (“PDE4”) program, including the compound </w:t>
      </w:r>
      <w:r>
        <w:rPr>
          <w:rFonts w:ascii="Arial" w:cs="Arial" w:eastAsia="Arial" w:hAnsi="Arial"/>
          <w:sz w:val="18"/>
          <w:szCs w:val="18"/>
          <w:i w:val="1"/>
          <w:iCs w:val="1"/>
          <w:color w:val="auto"/>
        </w:rPr>
        <w:t>HPP737</w:t>
      </w:r>
      <w:r>
        <w:rPr>
          <w:rFonts w:ascii="Arial" w:cs="Arial" w:eastAsia="Arial" w:hAnsi="Arial"/>
          <w:sz w:val="18"/>
          <w:szCs w:val="18"/>
          <w:color w:val="auto"/>
        </w:rPr>
        <w:t>, in China and other Pacific Rim territories (collectively, the “Newsoara License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Territory”). Additionally, under the Newsoara License Agreement, the Company obtained a non-exclusive, sublicensable, royalty-free license to develop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commercialize certain Newsoara patent rights and know-how related to the Company’s PDE4 program for therapeutic uses in humans outside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Newsoara License Territory. Under the terms of the Newsoara License Agreement, Newsoara paid the Company an upfront cash payment of $2.0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2019, the Company received an additional payment of $1.0 million related to the satisfaction of a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milestone during the year. The Company is eligible to receive additional potential development,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6" w:name="page107"/>
    <w:bookmarkEnd w:id="106"/>
    <w:p>
      <w:pPr>
        <w:spacing w:after="0" w:line="279" w:lineRule="auto"/>
        <w:rPr>
          <w:sz w:val="20"/>
          <w:szCs w:val="20"/>
          <w:color w:val="auto"/>
        </w:rPr>
      </w:pPr>
      <w:r>
        <w:rPr>
          <w:rFonts w:ascii="Arial" w:cs="Arial" w:eastAsia="Arial" w:hAnsi="Arial"/>
          <w:sz w:val="17"/>
          <w:szCs w:val="17"/>
          <w:color w:val="auto"/>
        </w:rPr>
        <w:t>regulatory and sales-based milestone payments totaling up to $62.0 million. In addition, Newsoara is obligated to pay the Company royalty payments at high-single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63" w:lineRule="exact"/>
        <w:rPr>
          <w:sz w:val="20"/>
          <w:szCs w:val="20"/>
          <w:color w:val="auto"/>
        </w:rPr>
      </w:pPr>
    </w:p>
    <w:p>
      <w:pPr>
        <w:ind w:right="40" w:firstLine="476"/>
        <w:spacing w:after="0" w:line="293" w:lineRule="auto"/>
        <w:rPr>
          <w:sz w:val="20"/>
          <w:szCs w:val="20"/>
          <w:color w:val="auto"/>
        </w:rPr>
      </w:pPr>
      <w:r>
        <w:rPr>
          <w:rFonts w:ascii="Arial" w:cs="Arial" w:eastAsia="Arial" w:hAnsi="Arial"/>
          <w:sz w:val="16"/>
          <w:szCs w:val="16"/>
          <w:color w:val="auto"/>
        </w:rPr>
        <w:t>Pursuant to the terms of the Newsoara License Agreement, the Company is required to provide technology transfer services for a defined period after the effective date. In accordance with ASC Topic 606, the Company identified all of the performance obligations at the inception of the Newsoara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The remaining milestone payments that the Company is eligible to receive have not been included in the transaction price as of December 31, 2019, as it is not considered probable that such payments will be received.</w:t>
      </w:r>
    </w:p>
    <w:p>
      <w:pPr>
        <w:spacing w:after="0" w:line="57" w:lineRule="exact"/>
        <w:rPr>
          <w:sz w:val="20"/>
          <w:szCs w:val="20"/>
          <w:color w:val="auto"/>
        </w:rPr>
      </w:pPr>
    </w:p>
    <w:p>
      <w:pPr>
        <w:ind w:right="20" w:firstLine="476"/>
        <w:spacing w:after="0" w:line="312" w:lineRule="auto"/>
        <w:rPr>
          <w:sz w:val="20"/>
          <w:szCs w:val="20"/>
          <w:color w:val="auto"/>
        </w:rPr>
      </w:pPr>
      <w:r>
        <w:rPr>
          <w:rFonts w:ascii="Arial" w:cs="Arial" w:eastAsia="Arial" w:hAnsi="Arial"/>
          <w:sz w:val="16"/>
          <w:szCs w:val="16"/>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The $2.0 million of the transaction price related to the upfront payment allocated to this performance obligation was recognized during the year ended December 31, 2018.</w:t>
      </w:r>
    </w:p>
    <w:p>
      <w:pPr>
        <w:spacing w:after="0" w:line="39" w:lineRule="exact"/>
        <w:rPr>
          <w:sz w:val="20"/>
          <w:szCs w:val="20"/>
          <w:color w:val="auto"/>
        </w:rPr>
      </w:pPr>
    </w:p>
    <w:p>
      <w:pPr>
        <w:jc w:val="both"/>
        <w:ind w:right="20" w:firstLine="476"/>
        <w:spacing w:after="0" w:line="264" w:lineRule="auto"/>
        <w:rPr>
          <w:sz w:val="20"/>
          <w:szCs w:val="20"/>
          <w:color w:val="auto"/>
        </w:rPr>
      </w:pPr>
      <w:r>
        <w:rPr>
          <w:rFonts w:ascii="Arial" w:cs="Arial" w:eastAsia="Arial" w:hAnsi="Arial"/>
          <w:sz w:val="18"/>
          <w:szCs w:val="18"/>
          <w:color w:val="auto"/>
        </w:rPr>
        <w:t>During the year ended December 31, 2019, the transaction price for this performance obligation was increased by $1.0 million due to the satisfaction of a development milestone under the license agreement. This amount was fully recognized as revenue during the year ended December 31, 2019, as the related performance obligation has been fully satisfied.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 Agreement</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 xml:space="preserve">In August 2017, the Company entered into the JDRF Agreement to support the funding of the Simplici-T1 Study, an adaptive Phase 1b/2 study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type 1 diabetics. We initiated this study in the fourth quarter of 2017.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treatment for type 1 diabetes.</w:t>
      </w:r>
    </w:p>
    <w:p>
      <w:pPr>
        <w:spacing w:after="0" w:line="6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Payments that the Company receives from JDRF under this agreement are recorded as restricted cash and current liabilities and recognized as an offset to research and development expense, based on the progress of the project, and only to the extent that the restricted cash is utilized to fund such development activities. As of December 31, 2019, the Company had received funding under this agreement of $2.4 million, and research and development costs were offset by $2.4 million.</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right"/>
              <w:ind w:right="294"/>
              <w:spacing w:after="0"/>
              <w:rPr>
                <w:sz w:val="20"/>
                <w:szCs w:val="20"/>
                <w:color w:val="auto"/>
              </w:rPr>
            </w:pPr>
            <w:r>
              <w:rPr>
                <w:rFonts w:ascii="Arial" w:cs="Arial" w:eastAsia="Arial" w:hAnsi="Arial"/>
                <w:sz w:val="14"/>
                <w:szCs w:val="14"/>
                <w:b w:val="1"/>
                <w:bCs w:val="1"/>
                <w:color w:val="auto"/>
                <w:w w:val="99"/>
              </w:rPr>
              <w:t>December 31, 2019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deferred revenue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FF0FC"/>
            </w:tcBorders>
          </w:tcPr>
          <w:p>
            <w:pPr>
              <w:spacing w:after="0"/>
              <w:rPr>
                <w:sz w:val="19"/>
                <w:szCs w:val="19"/>
                <w:color w:val="auto"/>
              </w:rPr>
            </w:pPr>
          </w:p>
        </w:tc>
      </w:tr>
      <w:tr>
        <w:trPr>
          <w:trHeight w:val="223"/>
        </w:trPr>
        <w:tc>
          <w:tcPr>
            <w:tcW w:w="6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change in the Company’s contract liabilities for the year ended December 31, 2019 of $1.8 million was due to the recognition of amounts included in the contract liability at the beginning of the period. The Company also recognized an additional $1.0 million of revenue related to changes in the estimated transaction prices for one of its customer contracts during the year ended December 31, 2019 for which the related performance obligation had already been satisfied.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Share-Based Compensation</w:t>
      </w:r>
    </w:p>
    <w:p>
      <w:pPr>
        <w:spacing w:after="0" w:line="12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conjunction with the Company’s initial public offering (“IPO”), the board of directors of vTv Therapeutics Inc. (the “Board of Directors”) and sole stockholder adopted a long-term equity incentive plan, the vTv Therapeutics Inc. 2015 Omnibus Equity Incentive Plan (the “Plan”). The Plan provides for the grant of stock options, restricted stock, restricted stock units and other awards based on our Class A Common Stock to management, other key employees, consultants and non-employee directors on terms and subject to conditions as established by our Compensation Committee. In settlement of its obligations under this plan, the Company will issue new shares of Class A Common Stock. The maximum number of shares of the Company’s Class A Common Stock that has been approved and may be subject to awards under the Plan is 3.25 million, subject to adjustment in accordance with terms of the Plan.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7" w:name="page108"/>
    <w:bookmarkEnd w:id="107"/>
    <w:p>
      <w:pPr>
        <w:ind w:right="80" w:firstLine="518"/>
        <w:spacing w:after="0" w:line="291" w:lineRule="auto"/>
        <w:rPr>
          <w:sz w:val="20"/>
          <w:szCs w:val="20"/>
          <w:color w:val="auto"/>
        </w:rPr>
      </w:pPr>
      <w:r>
        <w:rPr>
          <w:rFonts w:ascii="Arial" w:cs="Arial" w:eastAsia="Arial" w:hAnsi="Arial"/>
          <w:sz w:val="16"/>
          <w:szCs w:val="16"/>
          <w:color w:val="auto"/>
        </w:rPr>
        <w:t>The Company has issued non-qualified stock option awards and restricted stock units to certain employees, consultants and non-employee directors of the Company. These awards generally vest ratably over a three-year period and the option awards expire after a term of ten years from the date of grant. For the years ended December 31, 2019, 2018 and 2017, the Company recognized $1.5 million, $2.7 million and $3.6 million of compensation expense related to share-based awards, respectively. Given that the Company has established a full valuation allowance against its deferred tax assets, the Company has recognized no tax benefit related to these awards. As of December 31, 2019, the Company had total unrecognized stock-based compensation expense of approximately $1.5 million, which is expected to be recognized on a straight-line basis over a weighted average period of 1.9 years. The weighted average grant date fair value for all option grants during the years ended December 31, 2019, 2018 and 2017 was $1.91, $2.28 and $4.15 per option, respectively.</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of the in-the-money awards outstanding as of December 31, 2019 was an insignificant amount.</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 during the years ended December 31, 2019, 2018 and 2017:</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180" w:type="dxa"/>
            <w:vAlign w:val="bottom"/>
            <w:gridSpan w:val="6"/>
          </w:tcPr>
          <w:p>
            <w:pPr>
              <w:ind w:left="560"/>
              <w:spacing w:after="0"/>
              <w:rPr>
                <w:sz w:val="20"/>
                <w:szCs w:val="20"/>
                <w:color w:val="auto"/>
              </w:rPr>
            </w:pPr>
            <w:r>
              <w:rPr>
                <w:rFonts w:ascii="Arial" w:cs="Arial" w:eastAsia="Arial" w:hAnsi="Arial"/>
                <w:sz w:val="18"/>
                <w:szCs w:val="18"/>
                <w:b w:val="1"/>
                <w:bCs w:val="1"/>
                <w:color w:val="auto"/>
                <w:w w:val="90"/>
              </w:rPr>
              <w:t>For the Year Ended December 31,</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520" w:type="dxa"/>
            <w:vAlign w:val="bottom"/>
            <w:tcBorders>
              <w:bottom w:val="single" w:sz="8" w:color="CFF0FC"/>
            </w:tcBorders>
          </w:tcPr>
          <w:p>
            <w:pPr>
              <w:spacing w:after="0"/>
              <w:rPr>
                <w:sz w:val="20"/>
                <w:szCs w:val="20"/>
                <w:color w:val="auto"/>
              </w:rPr>
            </w:pPr>
          </w:p>
        </w:tc>
        <w:tc>
          <w:tcPr>
            <w:tcW w:w="190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1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- 120.15%</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- 99.23%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68.72%</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- 85.93%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20" w:type="dxa"/>
            <w:vAlign w:val="bottom"/>
          </w:tcPr>
          <w:p>
            <w:pPr>
              <w:ind w:left="20"/>
              <w:spacing w:after="0"/>
              <w:rPr>
                <w:sz w:val="20"/>
                <w:szCs w:val="20"/>
                <w:color w:val="auto"/>
              </w:rPr>
            </w:pPr>
            <w:r>
              <w:rPr>
                <w:rFonts w:ascii="Arial" w:cs="Arial" w:eastAsia="Arial" w:hAnsi="Arial"/>
                <w:sz w:val="18"/>
                <w:szCs w:val="18"/>
                <w:color w:val="auto"/>
              </w:rPr>
              <w:t>- 6.0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860" w:type="dxa"/>
            <w:vAlign w:val="bottom"/>
          </w:tcPr>
          <w:p>
            <w:pPr>
              <w:ind w:left="20"/>
              <w:spacing w:after="0"/>
              <w:rPr>
                <w:sz w:val="20"/>
                <w:szCs w:val="20"/>
                <w:color w:val="auto"/>
              </w:rPr>
            </w:pPr>
            <w:r>
              <w:rPr>
                <w:rFonts w:ascii="Arial" w:cs="Arial" w:eastAsia="Arial" w:hAnsi="Arial"/>
                <w:sz w:val="18"/>
                <w:szCs w:val="18"/>
                <w:color w:val="auto"/>
              </w:rPr>
              <w:t>- 6.0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860" w:type="dxa"/>
            <w:vAlign w:val="bottom"/>
          </w:tcPr>
          <w:p>
            <w:pPr>
              <w:ind w:left="20"/>
              <w:spacing w:after="0"/>
              <w:rPr>
                <w:sz w:val="20"/>
                <w:szCs w:val="20"/>
                <w:color w:val="auto"/>
              </w:rPr>
            </w:pPr>
            <w:r>
              <w:rPr>
                <w:rFonts w:ascii="Arial" w:cs="Arial" w:eastAsia="Arial" w:hAnsi="Arial"/>
                <w:sz w:val="18"/>
                <w:szCs w:val="18"/>
                <w:color w:val="auto"/>
              </w:rPr>
              <w:t>- 6.0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- 2.64%</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- 2.24%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gridSpan w:val="2"/>
          </w:tcPr>
          <w:p>
            <w:pPr>
              <w:jc w:val="right"/>
              <w:ind w:right="65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0"/>
                <w:szCs w:val="20"/>
                <w:color w:val="auto"/>
              </w:rPr>
            </w:pPr>
          </w:p>
        </w:tc>
        <w:tc>
          <w:tcPr>
            <w:tcW w:w="1600" w:type="dxa"/>
            <w:vAlign w:val="bottom"/>
            <w:gridSpan w:val="2"/>
          </w:tcPr>
          <w:p>
            <w:pPr>
              <w:jc w:val="right"/>
              <w:ind w:right="49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49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following table summarizes the activity related to the stock option awards for the year ended December 31, 2019 (in thousands, except per share amounts):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 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2018</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1,767,503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1,033,000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2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(269,360)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Awards outstanding at December 31, 2019</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2,531,143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at December 31, 2019</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1,280,406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6.3 Years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expected to vest at December 31, 2019</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2,441,769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7.5 Years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awards of RSUs for the year ended December 31, 2019:</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Average Grant Date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2018</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Vested</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(11,666)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2019</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RSUs expected to vest at December 31, 2019</w:t>
            </w: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gridSpan w:val="2"/>
            <w:vMerge w:val="continue"/>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December 31, 2019, the Company had total unrecognized stock-based compensation expense for its outstanding RSU awards of an insignificant amount, which is expected to be recognized over a weighted-average period of 0.2 years.</w:t>
      </w:r>
    </w:p>
    <w:p>
      <w:pPr>
        <w:spacing w:after="0" w:line="170"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Compensation expense related to the grants of stock options is included in research and development and general and administrative expense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1,682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8"/>
              </w:rPr>
              <w:t>Total share-based compensation expense</w:t>
            </w:r>
          </w:p>
        </w:tc>
        <w:tc>
          <w:tcPr>
            <w:tcW w:w="5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1,518</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2,676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3,645</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31"/>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60" w:type="dxa"/>
            <w:vAlign w:val="bottom"/>
            <w:gridSpan w:val="2"/>
          </w:tcPr>
          <w:p>
            <w:pPr>
              <w:jc w:val="right"/>
              <w:ind w:right="465"/>
              <w:spacing w:after="0"/>
              <w:rPr>
                <w:sz w:val="20"/>
                <w:szCs w:val="20"/>
                <w:color w:val="auto"/>
              </w:rPr>
            </w:pPr>
            <w:r>
              <w:rPr>
                <w:rFonts w:ascii="Arial" w:cs="Arial" w:eastAsia="Arial" w:hAnsi="Arial"/>
                <w:sz w:val="18"/>
                <w:szCs w:val="18"/>
                <w:color w:val="auto"/>
              </w:rPr>
              <w:t>F-15</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547"/>
        </w:trPr>
        <w:tc>
          <w:tcPr>
            <w:tcW w:w="17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5: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w w:val="96"/>
              </w:rPr>
              <w:t>December 31,</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9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551</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Prepaid taxes</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Prepaid - other</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Property and Equipment</w:t>
            </w: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1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8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consists of the following (in thousands):</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w w:val="94"/>
              </w:rPr>
              <w:t>December 31,</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353"/>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9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60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5,690</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Computers and hardware</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Software</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9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9"/>
              </w:rPr>
              <w:t>(148)</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23"/>
        </w:trPr>
        <w:tc>
          <w:tcPr>
            <w:tcW w:w="6180" w:type="dxa"/>
            <w:vAlign w:val="bottom"/>
            <w:gridSpan w:val="2"/>
          </w:tcPr>
          <w:p>
            <w:pPr>
              <w:ind w:left="1720"/>
              <w:spacing w:after="0"/>
              <w:rPr>
                <w:sz w:val="20"/>
                <w:szCs w:val="20"/>
                <w:color w:val="auto"/>
              </w:rPr>
            </w:pPr>
            <w:r>
              <w:rPr>
                <w:rFonts w:ascii="Arial" w:cs="Arial" w:eastAsia="Arial" w:hAnsi="Arial"/>
                <w:sz w:val="18"/>
                <w:szCs w:val="18"/>
                <w:color w:val="auto"/>
              </w:rPr>
              <w:t>Property and equipment, net</w:t>
            </w:r>
          </w:p>
        </w:tc>
        <w:tc>
          <w:tcPr>
            <w:tcW w:w="94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60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Depreciation expense was an insignificant amount for the year ended December 31, 2019 and was $0.2 million for each of the years ended December 31, 2018 and 2017.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Accounts Payable and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and accrued expenses consist of the following (in thousands):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544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6"/>
                <w:szCs w:val="16"/>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2,232</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3,148</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3,835</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costs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1,559</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6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7,068</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leased its former headquarters location under an operating lease that expired in December 2019. In connection with its adoption of ASC Topic 842, the Company recognized a right of use asset and corresponding operating lease liability of $0.3 million related to this lease as of January 1, 2019. The Company elected to use the package of practical expedients in implementing ASC Topic 842 under which the Company did not reassess the operating or finance lease classification of its previously existing leases. Further, the Company did not reassess whether expired or existing contracts include leases.</w:t>
      </w:r>
    </w:p>
    <w:p>
      <w:pPr>
        <w:spacing w:after="0" w:line="80"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In August 2019, the Company leased new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Further, this lease does not include any material residual value guarantee or restrictive covenants.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26" w:right="319" w:bottom="1440" w:gutter="0" w:footer="0" w:header="0"/>
        </w:sectPr>
      </w:pPr>
    </w:p>
    <w:bookmarkStart w:id="109" w:name="page110"/>
    <w:bookmarkEnd w:id="109"/>
    <w:p>
      <w:pPr>
        <w:ind w:right="40" w:firstLine="518"/>
        <w:spacing w:after="0" w:line="277" w:lineRule="auto"/>
        <w:rPr>
          <w:sz w:val="20"/>
          <w:szCs w:val="20"/>
          <w:color w:val="auto"/>
        </w:rPr>
      </w:pPr>
      <w:r>
        <w:rPr>
          <w:rFonts w:ascii="Arial" w:cs="Arial" w:eastAsia="Arial" w:hAnsi="Arial"/>
          <w:sz w:val="18"/>
          <w:szCs w:val="18"/>
          <w:color w:val="auto"/>
        </w:rPr>
        <w:t>At December 31, 2019, the weighted average incremental borrowing rate and remaining lease term for the operating leases held by the Company were 13.1% and 5.1 years,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for the Company’s operating leases as of December 31, 2019 were as follows (in thousands):</w:t>
      </w:r>
    </w:p>
    <w:p>
      <w:pPr>
        <w:spacing w:after="0" w:line="240"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4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2021</w:t>
            </w: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2023</w:t>
            </w: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7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Less: imputed interest</w:t>
            </w: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r>
      <w:tr>
        <w:trPr>
          <w:trHeight w:val="223"/>
        </w:trPr>
        <w:tc>
          <w:tcPr>
            <w:tcW w:w="20" w:type="dxa"/>
            <w:vAlign w:val="bottom"/>
          </w:tcPr>
          <w:p>
            <w:pPr>
              <w:spacing w:after="0"/>
              <w:rPr>
                <w:sz w:val="19"/>
                <w:szCs w:val="19"/>
                <w:color w:val="auto"/>
              </w:rPr>
            </w:pPr>
          </w:p>
        </w:tc>
        <w:tc>
          <w:tcPr>
            <w:tcW w:w="3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Operating lease cost was $0.4 million, $0.5 million and $0.5 million for the years ended December 31, 2019, 2018 and 2017, respectively. During the years ended December 31, 2019, cash paid for operating leases was $0.4 million.</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has recognized an asset retirement obligation for an obligation in its facility lease that requires the Company to return the property to the same or similar condition at the end of the lease as existed when the Company began using the facility. Asset retirement obligations recorded as a component of other noncurrent liabilities in the Consolidated Balance Sheets were $0.3 million at both December 31, 2019 and 2018. An immaterial amount of accretion and depreciation expense was recognized in the years ended December 31, 2019, 2018 and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Notes Payable</w:t>
      </w:r>
    </w:p>
    <w:p>
      <w:pPr>
        <w:spacing w:after="0" w:line="121"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Notes payable consist of the following (in thousands):</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9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December 31, 2019</w:t>
            </w:r>
          </w:p>
        </w:tc>
        <w:tc>
          <w:tcPr>
            <w:tcW w:w="1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December 31, 2018</w:t>
            </w:r>
          </w:p>
        </w:tc>
      </w:tr>
      <w:tr>
        <w:trPr>
          <w:trHeight w:val="223"/>
        </w:trPr>
        <w:tc>
          <w:tcPr>
            <w:tcW w:w="96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Notes payable under the Loan Agreement</w:t>
            </w: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4,896</w:t>
            </w:r>
          </w:p>
        </w:tc>
        <w:tc>
          <w:tcPr>
            <w:tcW w:w="2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9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Short-term financing</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r>
      <w:tr>
        <w:trPr>
          <w:trHeight w:val="230"/>
        </w:trPr>
        <w:tc>
          <w:tcPr>
            <w:tcW w:w="96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Accreted final payment</w:t>
            </w:r>
          </w:p>
        </w:tc>
        <w:tc>
          <w:tcPr>
            <w:tcW w:w="6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2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FF0FC"/>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Total notes payable</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6,172</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15,713</w:t>
            </w:r>
          </w:p>
        </w:tc>
        <w:tc>
          <w:tcPr>
            <w:tcW w:w="80" w:type="dxa"/>
            <w:vAlign w:val="bottom"/>
          </w:tcPr>
          <w:p>
            <w:pPr>
              <w:spacing w:after="0"/>
              <w:rPr>
                <w:sz w:val="19"/>
                <w:szCs w:val="19"/>
                <w:color w:val="auto"/>
              </w:rPr>
            </w:pPr>
          </w:p>
        </w:tc>
      </w:tr>
      <w:tr>
        <w:trPr>
          <w:trHeight w:val="230"/>
        </w:trPr>
        <w:tc>
          <w:tcPr>
            <w:tcW w:w="96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6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(6,172)</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(9,383)</w:t>
            </w:r>
          </w:p>
        </w:tc>
      </w:tr>
      <w:tr>
        <w:trPr>
          <w:trHeight w:val="223"/>
        </w:trPr>
        <w:tc>
          <w:tcPr>
            <w:tcW w:w="5360" w:type="dxa"/>
            <w:vAlign w:val="bottom"/>
            <w:gridSpan w:val="2"/>
          </w:tcPr>
          <w:p>
            <w:pPr>
              <w:ind w:left="960"/>
              <w:spacing w:after="0"/>
              <w:rPr>
                <w:sz w:val="20"/>
                <w:szCs w:val="20"/>
                <w:color w:val="auto"/>
              </w:rPr>
            </w:pPr>
            <w:r>
              <w:rPr>
                <w:rFonts w:ascii="Arial" w:cs="Arial" w:eastAsia="Arial" w:hAnsi="Arial"/>
                <w:sz w:val="18"/>
                <w:szCs w:val="18"/>
                <w:color w:val="auto"/>
              </w:rPr>
              <w:t>Total notes payable, net of current portion</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loan tranche bears interest at a floating rate equal to 10.5% plus the amount by which the one-month LIBOR exceeds 0.5%.</w:t>
      </w:r>
    </w:p>
    <w:p>
      <w:pPr>
        <w:spacing w:after="0" w:line="117" w:lineRule="exact"/>
        <w:rPr>
          <w:sz w:val="20"/>
          <w:szCs w:val="20"/>
          <w:color w:val="auto"/>
        </w:rPr>
      </w:pPr>
    </w:p>
    <w:p>
      <w:pPr>
        <w:ind w:right="160" w:firstLine="761"/>
        <w:spacing w:after="0" w:line="272" w:lineRule="auto"/>
        <w:rPr>
          <w:sz w:val="20"/>
          <w:szCs w:val="20"/>
          <w:color w:val="auto"/>
        </w:rPr>
      </w:pPr>
      <w:r>
        <w:rPr>
          <w:rFonts w:ascii="Arial" w:cs="Arial" w:eastAsia="Arial" w:hAnsi="Arial"/>
          <w:sz w:val="17"/>
          <w:szCs w:val="17"/>
          <w:color w:val="auto"/>
        </w:rPr>
        <w:t>The Company borrowed the first tranche of $12.5 million upon close of the Loan Agreement in October 2016. The first tranche required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The Company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70"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color w:val="auto"/>
        </w:rPr>
        <w:t>If the Company repays all or a portion of the loan prior to the applicable maturity date, it will pay the Lenders a prepayment penalty fee, based on a percentage of the then outstanding principal balance equal to 4.0% during the first 18 months following the funding of the second tranche and 2.0% thereafter.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0" w:name="page111"/>
    <w:bookmarkEnd w:id="110"/>
    <w:p>
      <w:pPr>
        <w:ind w:right="20" w:firstLine="761"/>
        <w:spacing w:after="0" w:line="270" w:lineRule="auto"/>
        <w:rPr>
          <w:sz w:val="20"/>
          <w:szCs w:val="20"/>
          <w:color w:val="auto"/>
        </w:rPr>
      </w:pPr>
      <w:r>
        <w:rPr>
          <w:rFonts w:ascii="Arial" w:cs="Arial" w:eastAsia="Arial" w:hAnsi="Arial"/>
          <w:sz w:val="17"/>
          <w:szCs w:val="17"/>
          <w:color w:val="auto"/>
        </w:rPr>
        <w:t>In connection with the Loan Agreement, the Company has issued to the Lenders warrants to purchase shares of the Company’s Class A Common Stock (the “Warrants”). On October 28, 2016, the Company issued Warrants to purchase 152,580 shares of its Class A Common Stock at a per share exercise price of $6.39 per share, which aggregate exercise price represents 6.0% of the principal amount borrowed under the first tranche of the Loan Agreement and 3.0% of the principal amount available under the second tranche of the Loan Agreement. On March 24, 2017, in connection with the funding of the second tranche, the Company issued Warrants to purchase 38,006 shares of its Class A Common Stock at a per share exercise price of $5.92 per share, which aggregate exercise price represents 3.0% of the principal amount of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 issuance of the applicable Warrants or (b) the closing price of a share of the Company’s Class A Common Stock on the trading day prior to the issuance of the applicable Warrants. The Warrants will expire seven years from their date of issuance.</w:t>
      </w:r>
    </w:p>
    <w:p>
      <w:pPr>
        <w:spacing w:after="0" w:line="70"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The Company’s obligations under the Loan Agreement are secured by a first priority security interest in substantially all of its assets. As a result of the termination of the STEADFAST Study, the Company granted the Lenders a first priority security interest in all of the Company’s intellectual property, subject to certain limited exceptions. The Company has agreed not to pledge or otherwise encumber its intellectual property assets, subject to certain exceptions.</w:t>
      </w:r>
    </w:p>
    <w:p>
      <w:pPr>
        <w:spacing w:after="0" w:line="79" w:lineRule="exact"/>
        <w:rPr>
          <w:sz w:val="20"/>
          <w:szCs w:val="20"/>
          <w:color w:val="auto"/>
        </w:rPr>
      </w:pPr>
    </w:p>
    <w:p>
      <w:pPr>
        <w:ind w:right="80" w:firstLine="761"/>
        <w:spacing w:after="0" w:line="290" w:lineRule="auto"/>
        <w:rPr>
          <w:sz w:val="20"/>
          <w:szCs w:val="20"/>
          <w:color w:val="auto"/>
        </w:rPr>
      </w:pPr>
      <w:r>
        <w:rPr>
          <w:rFonts w:ascii="Arial" w:cs="Arial" w:eastAsia="Arial" w:hAnsi="Arial"/>
          <w:sz w:val="16"/>
          <w:szCs w:val="16"/>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minimum cash balance covenant was included as part of an amendment to the Loan Agreement in connection with our entry into the Huadong License Agreement in December 2017. The Loan Agreement includes customary events of default, including payment defaults, covenant defaults, and material adverse change default. Upon the occurrence of an event of default and following any applicable cure periods, a default interest rate of an additional 5% will be applied to the outstanding loan balances, and the Lenders may declare all outstanding obligations immediately due and payable and take such other actions as set forth in the Loan Agreement.</w:t>
      </w:r>
    </w:p>
    <w:p>
      <w:pPr>
        <w:spacing w:after="0" w:line="58" w:lineRule="exact"/>
        <w:rPr>
          <w:sz w:val="20"/>
          <w:szCs w:val="20"/>
          <w:color w:val="auto"/>
        </w:rPr>
      </w:pPr>
    </w:p>
    <w:p>
      <w:pPr>
        <w:ind w:right="20" w:firstLine="761"/>
        <w:spacing w:after="0" w:line="276" w:lineRule="auto"/>
        <w:rPr>
          <w:sz w:val="20"/>
          <w:szCs w:val="20"/>
          <w:color w:val="auto"/>
        </w:rPr>
      </w:pPr>
      <w:r>
        <w:rPr>
          <w:rFonts w:ascii="Arial" w:cs="Arial" w:eastAsia="Arial" w:hAnsi="Arial"/>
          <w:sz w:val="17"/>
          <w:szCs w:val="17"/>
          <w:color w:val="auto"/>
        </w:rPr>
        <w:t>The Company incurred $0.7 million of costs in connection with the Loan Agreement in the year ended December 31, 2016. These costs, along with the allocated fair value of the Warrants issued of $0.9 million, were treated as a debt discount, and are offset against the carrying value of the notes payable in the Company’s Consolidated Balance Sheets as of December 31, 2019 and 2018. These costs will be recognized as interest expense over the term of the first tranche using the effective interest method. The final payment for the first and second loan tranches of $0.8 million and $0.5 million, respectively, will be accrued as additional interest expense, using the effective interest method, over the term of the relevant tranche.</w:t>
      </w:r>
    </w:p>
    <w:p>
      <w:pPr>
        <w:spacing w:after="0" w:line="64" w:lineRule="exact"/>
        <w:rPr>
          <w:sz w:val="20"/>
          <w:szCs w:val="20"/>
          <w:color w:val="auto"/>
        </w:rPr>
      </w:pPr>
    </w:p>
    <w:p>
      <w:pPr>
        <w:ind w:right="60" w:firstLine="761"/>
        <w:spacing w:after="0" w:line="264" w:lineRule="auto"/>
        <w:rPr>
          <w:sz w:val="20"/>
          <w:szCs w:val="20"/>
          <w:color w:val="auto"/>
        </w:rPr>
      </w:pPr>
      <w:r>
        <w:rPr>
          <w:rFonts w:ascii="Arial" w:cs="Arial" w:eastAsia="Arial" w:hAnsi="Arial"/>
          <w:sz w:val="18"/>
          <w:szCs w:val="18"/>
          <w:color w:val="auto"/>
        </w:rPr>
        <w:t>The Company recorded interest expense related to the Loan Agreement of $1.8 million, $3.1 million and $3.1 million for the years ended December 31, 2019, 2018 and 2017, respectively. The annual effective interest rate on the note payable, including the amortization of the debt discounts and accretion of the final payments, is 17.7%.</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Principal payments due under the terms of the Loan Agreement are as follows (in thousands):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2020</w:t>
            </w:r>
          </w:p>
        </w:tc>
        <w:tc>
          <w:tcPr>
            <w:tcW w:w="360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5,041</w:t>
            </w:r>
          </w:p>
        </w:tc>
        <w:tc>
          <w:tcPr>
            <w:tcW w:w="60" w:type="dxa"/>
            <w:vAlign w:val="bottom"/>
          </w:tcPr>
          <w:p>
            <w:pPr>
              <w:spacing w:after="0"/>
              <w:rPr>
                <w:sz w:val="20"/>
                <w:szCs w:val="20"/>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4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2022</w:t>
            </w: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2024</w:t>
            </w: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Columbia University Agreement</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In May 2015, the Company entered into a worldwide exclusive agreement with Columbia University (“Columbia”) to license certain intellectual property from Columbia. Under the agreement, the Company was obligated to pay to Columbia (1) an annual fee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11" w:name="page112"/>
    <w:bookmarkEnd w:id="111"/>
    <w:p>
      <w:pPr>
        <w:ind w:right="80"/>
        <w:spacing w:after="0" w:line="264" w:lineRule="auto"/>
        <w:rPr>
          <w:sz w:val="20"/>
          <w:szCs w:val="20"/>
          <w:color w:val="auto"/>
        </w:rPr>
      </w:pPr>
      <w:r>
        <w:rPr>
          <w:rFonts w:ascii="Arial" w:cs="Arial" w:eastAsia="Arial" w:hAnsi="Arial"/>
          <w:sz w:val="18"/>
          <w:szCs w:val="18"/>
          <w:color w:val="auto"/>
        </w:rPr>
        <w:t>$0.1 million from 2015 through 2021, (2) a potential regulatory milestone payment of $0.8 million and (3) potential royalty payments at a single digit royalty rate based on net sales of licensed products as defined in the agreement. In December 2018, the Company notified Columbia of its intent to terminate this license agreement.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8"/>
          <w:szCs w:val="18"/>
          <w:i w:val="1"/>
          <w:iCs w:val="1"/>
          <w:color w:val="auto"/>
        </w:rPr>
        <w:t>TTP399</w:t>
      </w:r>
      <w:r>
        <w:rPr>
          <w:rFonts w:ascii="Arial" w:cs="Arial" w:eastAsia="Arial" w:hAnsi="Arial"/>
          <w:sz w:val="18"/>
          <w:szCs w:val="18"/>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$115.0 million for approval of a product. The Company may also be obligated to pay an additional $75.0 million in potential sales-based milestones, as well as royalty payments, at mid-single digit royalty rates, based on tiered sales of commercialized licensed products.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 xml:space="preserve">Under the terms of the Huadong License Agreement, vTv LLC is obligated to act as the sponsor of the Phase 2 MRCT should Huadong require it to do so. The Phase 2 MRCT will include sites in both US and the Huadong License Territory for the purpose of assessing the safety and efficacy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in patients with type 2 diabetes and will be designed to satisfy the requirements of the China Food and Drug Administration necessary in order for Huadong to begin a Phase 3 clinical trial in China. vTv LLC will be responsible for contributing up to $3.0 million in connection with the Phase 2 MRCT. The expectation of when, or if, the Phase 2 MRCT trial will begin remains indeterminate.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On July 29, 2015, the Company amended and restated its certificate of incorporation to authorize 100,000,000 shares of Class A Common Stock, 100,000,000 shares of Class B Common Stock and 50,000,000 shares of preferred stock, par value $0.01 per share.</w:t>
      </w:r>
    </w:p>
    <w:p>
      <w:pPr>
        <w:spacing w:after="0" w:line="62"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Holders of Class A Common Stock and Class B Common Stock will be entitled to one vote for each share held on all matters submitted to stockholders for their vote or approval. The holders of Class A Common Stock and Class B Common Stock will vote together as a single class on all matters submitted to stockholders for their vote or approval, except with respect to the amendment of certain provisions of the Company’s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voting power of the outstanding Class B Common Stock (expressed as a percentage of the total voting power of all common stock) will be equal to the percentage of vTv Units not held by the Company. Holders of Class B Common Stock are not entitled to receive dividends and will not be entitled to receive any distributions upon the liquidation, dissolution or winding up of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 Warrants</w:t>
      </w:r>
    </w:p>
    <w:p>
      <w:pPr>
        <w:spacing w:after="0" w:line="117" w:lineRule="exact"/>
        <w:rPr>
          <w:sz w:val="20"/>
          <w:szCs w:val="20"/>
          <w:color w:val="auto"/>
        </w:rPr>
      </w:pPr>
    </w:p>
    <w:p>
      <w:pPr>
        <w:ind w:right="80" w:firstLine="611"/>
        <w:spacing w:after="0" w:line="297" w:lineRule="auto"/>
        <w:rPr>
          <w:sz w:val="20"/>
          <w:szCs w:val="20"/>
          <w:color w:val="auto"/>
        </w:rPr>
      </w:pPr>
      <w:r>
        <w:rPr>
          <w:rFonts w:ascii="Arial" w:cs="Arial" w:eastAsia="Arial" w:hAnsi="Arial"/>
          <w:sz w:val="16"/>
          <w:szCs w:val="16"/>
          <w:color w:val="auto"/>
        </w:rPr>
        <w:t>The Company has entered into the Letter Agreements with MacAndrews. Under the terms of the Letter Agreements, the Company has or had the right to sell to MacAndrews shares of its Class A Common Stock at a specified price per share, and MacAndrews has or had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 Certain terms of each of these Letter Agreements are set forth in Note 13.</w:t>
      </w:r>
    </w:p>
    <w:p>
      <w:pPr>
        <w:spacing w:after="0" w:line="50"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The Letter Agreement Warrants were recorded as warrant liability, related party within the Company’s Consolidated Balance Sheets based on their fair value. The issuance of the Letter Agreement Warrants was considered to be a cost of equity recorded as a reduction to additional paid-in capital. During the years ended December 31, 2019, 2018 and 2017 the Company recognized income/(expense) of $0.8 million, $(0.6) million and $(0.2) million, respectively, related to the change in fair value of the Letter Agreement Warrants. These amounts were recognized as a component of other income (expense), related party in the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2" w:name="page113"/>
    <w:bookmarkEnd w:id="112"/>
    <w:p>
      <w:pPr>
        <w:ind w:right="520" w:firstLine="518"/>
        <w:spacing w:after="0" w:line="277" w:lineRule="auto"/>
        <w:rPr>
          <w:sz w:val="20"/>
          <w:szCs w:val="20"/>
          <w:color w:val="auto"/>
        </w:rPr>
      </w:pPr>
      <w:r>
        <w:rPr>
          <w:rFonts w:ascii="Arial" w:cs="Arial" w:eastAsia="Arial" w:hAnsi="Arial"/>
          <w:sz w:val="18"/>
          <w:szCs w:val="18"/>
          <w:color w:val="auto"/>
        </w:rPr>
        <w:t>Fair value of the Letter Agreement Warrants was calculated as of their issuance date using the methods described in Note 19 using the following assumptions:</w:t>
      </w:r>
    </w:p>
    <w:p>
      <w:pPr>
        <w:spacing w:after="0" w:line="5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5,</w:t>
            </w: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July 30, 2018</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11,</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23,</w:t>
            </w:r>
          </w:p>
        </w:tc>
        <w:tc>
          <w:tcPr>
            <w:tcW w:w="0" w:type="dxa"/>
            <w:vAlign w:val="bottom"/>
          </w:tcPr>
          <w:p>
            <w:pPr>
              <w:spacing w:after="0"/>
              <w:rPr>
                <w:sz w:val="1"/>
                <w:szCs w:val="1"/>
                <w:color w:val="auto"/>
              </w:rPr>
            </w:pPr>
          </w:p>
        </w:tc>
      </w:tr>
      <w:tr>
        <w:trPr>
          <w:trHeight w:val="105"/>
        </w:trPr>
        <w:tc>
          <w:tcPr>
            <w:tcW w:w="216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160" w:type="dxa"/>
            <w:vAlign w:val="bottom"/>
            <w:tcBorders>
              <w:bottom w:val="single" w:sz="8" w:color="CFF0FC"/>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90.00%</w:t>
            </w:r>
          </w:p>
        </w:tc>
        <w:tc>
          <w:tcPr>
            <w:tcW w:w="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95.29%</w:t>
            </w:r>
          </w:p>
        </w:tc>
        <w:tc>
          <w:tcPr>
            <w:tcW w:w="6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104.46%</w:t>
            </w:r>
          </w:p>
        </w:tc>
        <w:tc>
          <w:tcPr>
            <w:tcW w:w="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110.35%</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110.41%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Arial" w:cs="Arial" w:eastAsia="Arial" w:hAnsi="Arial"/>
                <w:sz w:val="18"/>
                <w:szCs w:val="18"/>
                <w:color w:val="auto"/>
              </w:rPr>
              <w:t>Expected life of option, in</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years</w:t>
            </w:r>
          </w:p>
        </w:tc>
        <w:tc>
          <w:tcPr>
            <w:tcW w:w="1100" w:type="dxa"/>
            <w:vAlign w:val="bottom"/>
          </w:tcPr>
          <w:p>
            <w:pPr>
              <w:jc w:val="right"/>
              <w:ind w:right="316"/>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c>
          <w:tcPr>
            <w:tcW w:w="1100" w:type="dxa"/>
            <w:vAlign w:val="bottom"/>
          </w:tcPr>
          <w:p>
            <w:pPr>
              <w:jc w:val="right"/>
              <w:ind w:right="314"/>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c>
          <w:tcPr>
            <w:tcW w:w="1120" w:type="dxa"/>
            <w:vAlign w:val="bottom"/>
          </w:tcPr>
          <w:p>
            <w:pPr>
              <w:jc w:val="right"/>
              <w:ind w:right="336"/>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c>
          <w:tcPr>
            <w:tcW w:w="1100" w:type="dxa"/>
            <w:vAlign w:val="bottom"/>
          </w:tcPr>
          <w:p>
            <w:pPr>
              <w:jc w:val="right"/>
              <w:ind w:right="316"/>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060" w:type="dxa"/>
            <w:vAlign w:val="bottom"/>
          </w:tcPr>
          <w:p>
            <w:pPr>
              <w:jc w:val="right"/>
              <w:ind w:right="316"/>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2.80%</w:t>
            </w:r>
          </w:p>
        </w:tc>
        <w:tc>
          <w:tcPr>
            <w:tcW w:w="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2.94%</w:t>
            </w:r>
          </w:p>
        </w:tc>
        <w:tc>
          <w:tcPr>
            <w:tcW w:w="6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2.77%</w:t>
            </w:r>
          </w:p>
        </w:tc>
        <w:tc>
          <w:tcPr>
            <w:tcW w:w="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1.65%</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 Warrants</w:t>
      </w:r>
    </w:p>
    <w:p>
      <w:pPr>
        <w:spacing w:after="0" w:line="117" w:lineRule="exact"/>
        <w:rPr>
          <w:sz w:val="20"/>
          <w:szCs w:val="20"/>
          <w:color w:val="auto"/>
        </w:rPr>
      </w:pPr>
    </w:p>
    <w:p>
      <w:pPr>
        <w:ind w:right="200" w:firstLine="518"/>
        <w:spacing w:after="0" w:line="291" w:lineRule="auto"/>
        <w:rPr>
          <w:sz w:val="20"/>
          <w:szCs w:val="20"/>
          <w:color w:val="auto"/>
        </w:rPr>
      </w:pPr>
      <w:r>
        <w:rPr>
          <w:rFonts w:ascii="Arial" w:cs="Arial" w:eastAsia="Arial" w:hAnsi="Arial"/>
          <w:sz w:val="16"/>
          <w:szCs w:val="16"/>
          <w:color w:val="auto"/>
        </w:rPr>
        <w:t>On October 28, 2016, the Company entered into the Loan Agreement as discussed in Note 9. In connection with the Loan Agreement, the Company issued to the Lenders Warrants to purchase a total of 152,580 shares of the Company’s Class A Common Stock at an exercise price of $6.39 per</w:t>
      </w:r>
    </w:p>
    <w:p>
      <w:pPr>
        <w:ind w:right="100"/>
        <w:spacing w:after="0" w:line="270" w:lineRule="auto"/>
        <w:rPr>
          <w:sz w:val="20"/>
          <w:szCs w:val="20"/>
          <w:color w:val="auto"/>
        </w:rPr>
      </w:pPr>
      <w:r>
        <w:rPr>
          <w:rFonts w:ascii="Arial" w:cs="Arial" w:eastAsia="Arial" w:hAnsi="Arial"/>
          <w:sz w:val="17"/>
          <w:szCs w:val="17"/>
          <w:color w:val="auto"/>
        </w:rPr>
        <w:t>share. Additionally, upon funding of the second tranche on March 24, 2017, the Company issued Warrants to purchase 38,006 shares of its Class A Common Stock at a per share exercise price of $5.92 per share, which aggregate exercise price represents 3.0% of the amount available under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 issuance of the applicable Warrants or (b) the closing price of a share of the Company’s Class A Common Stock on the trading day prior to the issuance of the applicable Warrants. The Warrants will expire seven years from their date of issuance.</w:t>
      </w:r>
    </w:p>
    <w:p>
      <w:pPr>
        <w:spacing w:after="0" w:line="71"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The Warrants issued with a determinable number of shares and exercise price were initially recorded as a component of additional paid-in capital based on their relative fair value. The Warrants issued for a variable number of shares were initially recorded as a component of other liabilities. This related liability was adjusted to its fair value on a periodic basis until the associated warrants qualified for equity classification upon the funding of the second tranche of the Loan Agreement on March 24, 2017. For the year ended December 31, 2017, the Company recognized additional interest expense within the Consolidated Statements of Operations of a de minimis amount related to the adjustment of the Warrants to their fair value.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Redeemable Noncontrolling Interest</w:t>
      </w:r>
    </w:p>
    <w:p>
      <w:pPr>
        <w:spacing w:after="0" w:line="121"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The Company is subject to the Exchange Agreement with respect to the vTv Units representing the outstanding 36.1% noncontrolling interest in vTv LLC (see Note 1).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 day volume weighted average price of the Class A Common Stock as defined in the Exchange Agreement, subject to customary conversion rate adjustments for stock splits, stock dividends and reclassifications.</w:t>
      </w:r>
    </w:p>
    <w:p>
      <w:pPr>
        <w:spacing w:after="0" w:line="5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redeemable noncontrolling interest is recognized at the higher of (1) its initial fair value plus accumulated earnings/losses associated with the noncontrolling interest or (2) the redemption value as of the balance sheet date. At December 31, 2019 and 2018, the redeemable noncontrolling interest was recorded based on the redemption value as of the balance sheet date of $40.2 million and $62.5 million, respectively.</w:t>
      </w:r>
    </w:p>
    <w:p>
      <w:pPr>
        <w:spacing w:after="0" w:line="57" w:lineRule="exact"/>
        <w:rPr>
          <w:sz w:val="20"/>
          <w:szCs w:val="20"/>
          <w:color w:val="auto"/>
        </w:rPr>
      </w:pPr>
    </w:p>
    <w:p>
      <w:pPr>
        <w:ind w:right="220" w:firstLine="518"/>
        <w:spacing w:after="0" w:line="256"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09"/>
        </w:trPr>
        <w:tc>
          <w:tcPr>
            <w:tcW w:w="4860" w:type="dxa"/>
            <w:vAlign w:val="bottom"/>
            <w:gridSpan w:val="2"/>
          </w:tcPr>
          <w:p>
            <w:pPr>
              <w:ind w:left="580"/>
              <w:spacing w:after="0"/>
              <w:rPr>
                <w:sz w:val="20"/>
                <w:szCs w:val="20"/>
                <w:color w:val="auto"/>
              </w:rPr>
            </w:pPr>
            <w:r>
              <w:rPr>
                <w:rFonts w:ascii="Arial" w:cs="Arial" w:eastAsia="Arial" w:hAnsi="Arial"/>
                <w:sz w:val="18"/>
                <w:szCs w:val="18"/>
                <w:color w:val="auto"/>
              </w:rPr>
              <w:t>Net loss attributable to vTv Therapeutics Inc.</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(17,913)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(8,650)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(16,144)</w:t>
            </w:r>
          </w:p>
        </w:tc>
        <w:tc>
          <w:tcPr>
            <w:tcW w:w="58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Increase in vTv Therapeutics Inc. accumulated</w:t>
            </w: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deficit for purchase of LLC Units as a result</w:t>
            </w: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common stock issuances</w:t>
            </w:r>
          </w:p>
        </w:tc>
        <w:tc>
          <w:tcPr>
            <w:tcW w:w="9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(17,971)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(19,456)</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Change from net loss attributable to</w:t>
            </w:r>
          </w:p>
        </w:tc>
        <w:tc>
          <w:tcPr>
            <w:tcW w:w="9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ind w:left="380"/>
              <w:spacing w:after="0"/>
              <w:rPr>
                <w:sz w:val="20"/>
                <w:szCs w:val="20"/>
                <w:color w:val="auto"/>
              </w:rPr>
            </w:pPr>
            <w:r>
              <w:rPr>
                <w:rFonts w:ascii="Arial" w:cs="Arial" w:eastAsia="Arial" w:hAnsi="Arial"/>
                <w:sz w:val="18"/>
                <w:szCs w:val="18"/>
                <w:color w:val="auto"/>
              </w:rPr>
              <w:t>vTv Therapeutics Inc. common shareholders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80" w:type="dxa"/>
            <w:vAlign w:val="bottom"/>
          </w:tcPr>
          <w:p>
            <w:pPr>
              <w:ind w:left="380"/>
              <w:spacing w:after="0"/>
              <w:rPr>
                <w:sz w:val="20"/>
                <w:szCs w:val="20"/>
                <w:color w:val="auto"/>
              </w:rPr>
            </w:pPr>
            <w:r>
              <w:rPr>
                <w:rFonts w:ascii="Arial" w:cs="Arial" w:eastAsia="Arial" w:hAnsi="Arial"/>
                <w:sz w:val="18"/>
                <w:szCs w:val="18"/>
                <w:color w:val="auto"/>
              </w:rPr>
              <w:t>and transfers to noncontrolling interest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(35,884)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(28,106)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(16,144)</w:t>
            </w:r>
          </w:p>
        </w:tc>
        <w:tc>
          <w:tcPr>
            <w:tcW w:w="58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737"/>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F-20</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47"/>
        </w:trPr>
        <w:tc>
          <w:tcPr>
            <w:tcW w:w="5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13: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MacAndrews directly or indirectly controls 23,084,267 shares of Class B Common Stock. Further, as of December 31, 2019, MacAndrews directly or indirectly holds 30,356,212 shares of the Company’s Class A Common Stock. As a result, MacAndrews’ holdings represent approximately 83.5% of the combined voting power of the Company’s outstanding common stock.</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100" w:firstLine="476"/>
        <w:spacing w:after="0" w:line="257" w:lineRule="auto"/>
        <w:rPr>
          <w:sz w:val="20"/>
          <w:szCs w:val="20"/>
          <w:color w:val="auto"/>
        </w:rPr>
      </w:pPr>
      <w:r>
        <w:rPr>
          <w:rFonts w:ascii="Arial" w:cs="Arial" w:eastAsia="Arial" w:hAnsi="Arial"/>
          <w:sz w:val="18"/>
          <w:szCs w:val="18"/>
          <w:color w:val="auto"/>
        </w:rPr>
        <w:t>The Company has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these Letter Agreements are set forth in the tables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December 5, 2017 Letter Agreement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July 30, 2018 Letter Agreement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11, 2018 Letter</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Agreement</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4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20" w:type="dxa"/>
            <w:vAlign w:val="bottom"/>
            <w:gridSpan w:val="2"/>
            <w:shd w:val="clear" w:color="auto" w:fill="CFF0FC"/>
          </w:tcPr>
          <w:p>
            <w:pPr>
              <w:ind w:left="1140"/>
              <w:spacing w:after="0"/>
              <w:rPr>
                <w:sz w:val="20"/>
                <w:szCs w:val="20"/>
                <w:color w:val="auto"/>
              </w:rPr>
            </w:pPr>
            <w:r>
              <w:rPr>
                <w:rFonts w:ascii="Arial" w:cs="Arial" w:eastAsia="Arial" w:hAnsi="Arial"/>
                <w:sz w:val="18"/>
                <w:szCs w:val="18"/>
                <w:color w:val="auto"/>
                <w:w w:val="94"/>
              </w:rPr>
              <w:t>$10.0 million</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140" w:type="dxa"/>
            <w:vAlign w:val="bottom"/>
            <w:gridSpan w:val="3"/>
            <w:shd w:val="clear" w:color="auto" w:fill="CFF0FC"/>
          </w:tcPr>
          <w:p>
            <w:pPr>
              <w:ind w:left="1060"/>
              <w:spacing w:after="0"/>
              <w:rPr>
                <w:sz w:val="20"/>
                <w:szCs w:val="20"/>
                <w:color w:val="auto"/>
              </w:rPr>
            </w:pPr>
            <w:r>
              <w:rPr>
                <w:rFonts w:ascii="Arial" w:cs="Arial" w:eastAsia="Arial" w:hAnsi="Arial"/>
                <w:sz w:val="18"/>
                <w:szCs w:val="18"/>
                <w:color w:val="auto"/>
              </w:rPr>
              <w:t>$10.0 million</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4.38</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0"/>
                <w:szCs w:val="20"/>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5, 2018</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w w:val="91"/>
              </w:rPr>
              <w:t>July 30, 2019</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14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w w:val="94"/>
              </w:rPr>
              <w:t>December 11, 2019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198,267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518,654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340,534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94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FF0FC"/>
          </w:tcPr>
          <w:p>
            <w:pPr>
              <w:spacing w:after="0"/>
              <w:rPr>
                <w:sz w:val="20"/>
                <w:szCs w:val="20"/>
                <w:color w:val="auto"/>
              </w:rPr>
            </w:pPr>
          </w:p>
        </w:tc>
        <w:tc>
          <w:tcPr>
            <w:tcW w:w="3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warrants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December 5, 2024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ind w:left="1120"/>
              <w:spacing w:after="0"/>
              <w:rPr>
                <w:sz w:val="20"/>
                <w:szCs w:val="20"/>
                <w:color w:val="auto"/>
              </w:rPr>
            </w:pPr>
            <w:r>
              <w:rPr>
                <w:rFonts w:ascii="Arial" w:cs="Arial" w:eastAsia="Arial" w:hAnsi="Arial"/>
                <w:sz w:val="18"/>
                <w:szCs w:val="18"/>
                <w:color w:val="auto"/>
                <w:w w:val="91"/>
              </w:rPr>
              <w:t>July 30, 2025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3"/>
          </w:tcPr>
          <w:p>
            <w:pPr>
              <w:ind w:left="620"/>
              <w:spacing w:after="0"/>
              <w:rPr>
                <w:sz w:val="20"/>
                <w:szCs w:val="20"/>
                <w:color w:val="auto"/>
              </w:rPr>
            </w:pPr>
            <w:r>
              <w:rPr>
                <w:rFonts w:ascii="Arial" w:cs="Arial" w:eastAsia="Arial" w:hAnsi="Arial"/>
                <w:sz w:val="18"/>
                <w:szCs w:val="18"/>
                <w:color w:val="auto"/>
                <w:w w:val="94"/>
              </w:rPr>
              <w:t>December 11, 2025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w:t>
            </w: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2,283,105</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7,518,797</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Remaining shares to be issued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as of December 31, 2019</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March 18, 2019 Letter Agreement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26, 2019 Letter</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December 23, 2019 Letter</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Agreement</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4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million</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w w:val="96"/>
              </w:rPr>
              <w:t>$10.0 million</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140" w:type="dxa"/>
            <w:vAlign w:val="bottom"/>
            <w:gridSpan w:val="3"/>
            <w:shd w:val="clear" w:color="auto" w:fill="CFF0FC"/>
          </w:tcPr>
          <w:p>
            <w:pPr>
              <w:ind w:left="1040"/>
              <w:spacing w:after="0"/>
              <w:rPr>
                <w:sz w:val="20"/>
                <w:szCs w:val="20"/>
                <w:color w:val="auto"/>
              </w:rPr>
            </w:pPr>
            <w:r>
              <w:rPr>
                <w:rFonts w:ascii="Arial" w:cs="Arial" w:eastAsia="Arial" w:hAnsi="Arial"/>
                <w:sz w:val="18"/>
                <w:szCs w:val="18"/>
                <w:color w:val="auto"/>
              </w:rPr>
              <w:t>$10.0 million</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9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1.65</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18, 2020</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2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w w:val="89"/>
              </w:rPr>
              <w:t>September 26, 2020</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14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w w:val="96"/>
              </w:rPr>
              <w:t>December 23, 2020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400,990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365,472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940" w:type="dxa"/>
            <w:vAlign w:val="bottom"/>
            <w:gridSpan w:val="3"/>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FF0FC"/>
          </w:tcPr>
          <w:p>
            <w:pPr>
              <w:spacing w:after="0"/>
              <w:rPr>
                <w:sz w:val="20"/>
                <w:szCs w:val="20"/>
                <w:color w:val="auto"/>
              </w:rPr>
            </w:pPr>
          </w:p>
        </w:tc>
        <w:tc>
          <w:tcPr>
            <w:tcW w:w="3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warrants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ind w:left="640"/>
              <w:spacing w:after="0"/>
              <w:rPr>
                <w:sz w:val="20"/>
                <w:szCs w:val="20"/>
                <w:color w:val="auto"/>
              </w:rPr>
            </w:pPr>
            <w:r>
              <w:rPr>
                <w:rFonts w:ascii="Arial" w:cs="Arial" w:eastAsia="Arial" w:hAnsi="Arial"/>
                <w:sz w:val="18"/>
                <w:szCs w:val="18"/>
                <w:color w:val="auto"/>
                <w:w w:val="89"/>
              </w:rPr>
              <w:t>September 26, 2026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3"/>
          </w:tcPr>
          <w:p>
            <w:pPr>
              <w:ind w:left="600"/>
              <w:spacing w:after="0"/>
              <w:rPr>
                <w:sz w:val="20"/>
                <w:szCs w:val="20"/>
                <w:color w:val="auto"/>
              </w:rPr>
            </w:pPr>
            <w:r>
              <w:rPr>
                <w:rFonts w:ascii="Arial" w:cs="Arial" w:eastAsia="Arial" w:hAnsi="Arial"/>
                <w:sz w:val="18"/>
                <w:szCs w:val="18"/>
                <w:color w:val="auto"/>
                <w:w w:val="96"/>
              </w:rPr>
              <w:t>December 23, 2026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w:t>
            </w: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5,454,546</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6,849,316</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Remaining shares to be issued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as of December 31, 2019</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6,250,000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F-21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26" w:right="219" w:bottom="1440" w:gutter="0" w:footer="0" w:header="0"/>
        </w:sectPr>
      </w:pPr>
    </w:p>
    <w:bookmarkStart w:id="114" w:name="page115"/>
    <w:bookmarkEnd w:id="114"/>
    <w:p>
      <w:pPr>
        <w:ind w:right="60" w:firstLine="476"/>
        <w:spacing w:after="0" w:line="297" w:lineRule="auto"/>
        <w:rPr>
          <w:sz w:val="20"/>
          <w:szCs w:val="20"/>
          <w:color w:val="auto"/>
        </w:rPr>
      </w:pPr>
      <w:r>
        <w:rPr>
          <w:rFonts w:ascii="Arial" w:cs="Arial" w:eastAsia="Arial" w:hAnsi="Arial"/>
          <w:sz w:val="16"/>
          <w:szCs w:val="16"/>
          <w:color w:val="auto"/>
        </w:rPr>
        <w:t>Each of the December 5, 2017 and July 30, 2018 Letter Agreements resulted in a deemed capital contribution to the Company as the fair value of the financial instrument received by the Company exceeded the fair value of those financial instruments issued to MacAndrews. The December 11, 2018, March 18, 2019, September 26, 2019 and December 23, 2019 Letter Agreements resulted in a deemed distribution to MacAndrews as the fair value of the financial instruments issued to MacAndrews exceeded the fair value of the financial instrument received by the Company. This deemed distribution has been reflected as a reduction to the net loss attributable to common shareholders of vTv Therapeutics Inc. for computing net loss per share.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Pursuant to the terms of the Exchange Agreement, but subject to the Amended and Restated LLC Agreement of vTv Therapeutics LLC, the vTv Units (along with a corresponding number of shares of the Class B Common Stock) are exchangeable for (i) shares of the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December 31, 2019, MacAndrews has not exchanged any shares under the provisions of this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Tax Receivable Agreement among the Company, M&amp;F TTP Holdings Two LLC, as successor in interest to vTv Therapeutics Holdings (“M&amp;F”) and M&amp;F TTP Holdings LLC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As no shares have been exchanged by MacAndrews pursuant to the Exchange Agreement (discussed above), the Company has not recognized any liability nor has it made any payments pursuant to the Tax Receivable Agreement as of December 31, 2019.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 Plan</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Company has a 401(k) retirement plan in which all of its full-time employees are eligible to participate. The plan provides for the Company to make discretionary 50% matching contributions up to a maximum of 6% of employees’ eligible compensation. The Company contributed $0.1 million, $0.2 million and $0.1 million to the plan for the years ended December 31, 2019, 2018 and 2017, respectively.</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From August 1, 2015, vTv Therapeutics Inc. has been subject to U.S. federal income taxes as well as state taxes. The Company recorded an income tax provision of $0.1 million, $0.2 million and $0.8 million for the years ended December 31, 2019, 2018 and 2017, respectively, representing foreign withholding taxes incurred in connection with payments received under license agreements with foreign entities.</w:t>
      </w:r>
    </w:p>
    <w:p>
      <w:pPr>
        <w:spacing w:after="0" w:line="5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As discussed in Note 13,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December 31, 2019.</w:t>
      </w:r>
    </w:p>
    <w:p>
      <w:pPr>
        <w:spacing w:after="0" w:line="80"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On December 22, 2017, the US government enacted comprehensive tax reform commonly referred to as the Tax Cuts and Jobs Act (“TCJA”). Under ASC 740, the effects of changes in tax rates and laws are recognized in the period which the new legislation is enacted. Among other things, the TCJA (1) reduced the US statutory corporate income tax rate from 35% to 21% effective January 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5" w:name="page116"/>
    <w:bookmarkEnd w:id="115"/>
    <w:p>
      <w:pPr>
        <w:ind w:right="80"/>
        <w:spacing w:after="0" w:line="277" w:lineRule="auto"/>
        <w:rPr>
          <w:sz w:val="20"/>
          <w:szCs w:val="20"/>
          <w:color w:val="auto"/>
        </w:rPr>
      </w:pPr>
      <w:r>
        <w:rPr>
          <w:rFonts w:ascii="Arial" w:cs="Arial" w:eastAsia="Arial" w:hAnsi="Arial"/>
          <w:sz w:val="18"/>
          <w:szCs w:val="18"/>
          <w:color w:val="auto"/>
        </w:rPr>
        <w:t>2018, (2) eliminated the corporate alternative minimum tax, (3) eliminated the Section 199 deduction, and (4) changed rules related to uses and limitations of net operating loss carryforwards beginning after December 31, 2017.</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statutory income tax rate to the Company’s effective tax rate is as follows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U.S. statutory tax benefit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(18,846)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w w:val="90"/>
              </w:rPr>
              <w:t>Partnership income (federal) not subject to tax to the Company</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Foreign withholding tax</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Impact of the Tax Act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(1,122)</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our net deferred tax assets/(liabilities) are as follows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9"/>
                <w:szCs w:val="19"/>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64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14,540</w:t>
            </w:r>
          </w:p>
        </w:tc>
        <w:tc>
          <w:tcPr>
            <w:tcW w:w="240" w:type="dxa"/>
            <w:vAlign w:val="bottom"/>
          </w:tcPr>
          <w:p>
            <w:pPr>
              <w:spacing w:after="0"/>
              <w:rPr>
                <w:sz w:val="19"/>
                <w:szCs w:val="19"/>
                <w:color w:val="auto"/>
              </w:rPr>
            </w:pP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11,400</w:t>
            </w:r>
          </w:p>
        </w:tc>
        <w:tc>
          <w:tcPr>
            <w:tcW w:w="80" w:type="dxa"/>
            <w:vAlign w:val="bottom"/>
          </w:tcPr>
          <w:p>
            <w:pPr>
              <w:spacing w:after="0"/>
              <w:rPr>
                <w:sz w:val="19"/>
                <w:szCs w:val="19"/>
                <w:color w:val="auto"/>
              </w:rPr>
            </w:pPr>
          </w:p>
        </w:tc>
      </w:tr>
      <w:tr>
        <w:trPr>
          <w:trHeight w:val="230"/>
        </w:trPr>
        <w:tc>
          <w:tcPr>
            <w:tcW w:w="5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R&amp;D Tax Credit carryforwards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80" w:type="dxa"/>
            <w:vAlign w:val="bottom"/>
            <w:shd w:val="clear" w:color="auto" w:fill="CFF0FC"/>
          </w:tcPr>
          <w:p>
            <w:pPr>
              <w:spacing w:after="0"/>
              <w:rPr>
                <w:sz w:val="19"/>
                <w:szCs w:val="19"/>
                <w:color w:val="auto"/>
              </w:rPr>
            </w:pPr>
          </w:p>
        </w:tc>
      </w:tr>
      <w:tr>
        <w:trPr>
          <w:trHeight w:val="230"/>
        </w:trPr>
        <w:tc>
          <w:tcPr>
            <w:tcW w:w="5640" w:type="dxa"/>
            <w:vAlign w:val="bottom"/>
          </w:tcPr>
          <w:p>
            <w:pPr>
              <w:ind w:left="120"/>
              <w:spacing w:after="0"/>
              <w:rPr>
                <w:sz w:val="20"/>
                <w:szCs w:val="20"/>
                <w:color w:val="auto"/>
              </w:rPr>
            </w:pPr>
            <w:r>
              <w:rPr>
                <w:rFonts w:ascii="Arial" w:cs="Arial" w:eastAsia="Arial" w:hAnsi="Arial"/>
                <w:sz w:val="18"/>
                <w:szCs w:val="18"/>
                <w:color w:val="auto"/>
              </w:rPr>
              <w:t>Investment in partnerships</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230"/>
        </w:trPr>
        <w:tc>
          <w:tcPr>
            <w:tcW w:w="5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Charitable contributions</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23"/>
        </w:trPr>
        <w:tc>
          <w:tcPr>
            <w:tcW w:w="564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15,557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12,638</w:t>
            </w:r>
          </w:p>
        </w:tc>
        <w:tc>
          <w:tcPr>
            <w:tcW w:w="80" w:type="dxa"/>
            <w:vAlign w:val="bottom"/>
          </w:tcPr>
          <w:p>
            <w:pPr>
              <w:spacing w:after="0"/>
              <w:rPr>
                <w:sz w:val="19"/>
                <w:szCs w:val="19"/>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(15,557)</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(12,638)</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assesses the available positive evidence and negative evidence to estimate whether sufficient future taxable income will be generated to permit use of existing deferred tax assets. A significant piece of objective negative evidence evaluated was the Company’s recent operating losses. Such objective evidence limits the ability to consider other subjective evidence, such as forecasts of profitability. On the basis of this evaluation, the Company concluded that its deferred tax assets were not realizable on a more-likely-than-not basis and recorded a full valuation allowance. During the year ended December 31, 2019, the Company’s valuation allowance increased by $2.9 million.</w:t>
      </w:r>
    </w:p>
    <w:p>
      <w:pPr>
        <w:spacing w:after="0" w:line="80"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The Company has federal net operating loss carryforwards of $65.8 million that will be available to offset future taxable income. Approximately, $40.0 million of these carryforwards expire in varying amounts starting in 2035 to 2037, if not utilized and are available to offset 100% of future taxable income. The remaining $25.8 million may be carried forward indefinitely but are only available to offset 80% of future taxable income. The Company has federal research and development tax credits of $1.5 million which expire in varying amounts starting in 2035 to 2039.</w:t>
      </w:r>
    </w:p>
    <w:p>
      <w:pPr>
        <w:spacing w:after="0" w:line="63"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Company applies applicable authoritative guidance which prescribes a comprehensive model for the manner in which a company should recognize, measure, present and disclose in its financial statements all material uncertain tax positions that the Company has taken or expects to take on a tax return. As of December 31, 2019, the Company had no uncertain tax positions. There are no uncertain tax positions for which it is reasonably possible that the total amount of unrecognized tax benefits will significantly increase or decrease within twelve months of December 31, 2019.</w:t>
      </w:r>
    </w:p>
    <w:p>
      <w:pPr>
        <w:spacing w:after="0" w:line="6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files U.S. federal, New York, North Carolina and Virginia tax returns. The earliest open tax years that are still subject to examination by the IRS and the aforementioned state tax authorities are 2016 to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Restructuring</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December 2018, the Company initiated a corporate restructuring to align with a strategic decision to continue the development of its drug candidates using external resources rather than internal resources. The restructuring allowed the Company to reduce costs while continuing to conduct clinical trials, to support existing partnerships that are advancing development of additional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6" w:name="page117"/>
    <w:bookmarkEnd w:id="116"/>
    <w:p>
      <w:pPr>
        <w:ind w:right="700"/>
        <w:spacing w:after="0" w:line="277" w:lineRule="auto"/>
        <w:rPr>
          <w:sz w:val="20"/>
          <w:szCs w:val="20"/>
          <w:color w:val="auto"/>
        </w:rPr>
      </w:pPr>
      <w:r>
        <w:rPr>
          <w:rFonts w:ascii="Arial" w:cs="Arial" w:eastAsia="Arial" w:hAnsi="Arial"/>
          <w:sz w:val="18"/>
          <w:szCs w:val="18"/>
          <w:color w:val="auto"/>
        </w:rPr>
        <w:t>assets, and to pursue new licensing and partnership opportunities. This restructuring included a significant reduction in its workforce. The Company completed these restructuring activities in the second quarter of 2019.</w:t>
      </w:r>
    </w:p>
    <w:p>
      <w:pPr>
        <w:spacing w:after="0" w:line="62"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As of and during the year ended December 31, 2018, the Company had recognized an accrual and related expense of $0.3 million related to these severance benefits. During the year ended December 31, 2019, the Company made cash payments of $0.3 million related to these severance benefits and recognized an immaterial amount of expense related to this plan. The related expense has been recognized as a component of research and development and general and administrative expense within the Consolidated Statements of Operations based on the responsibilities of the impacted employees. The related accrual is recorded as a component of accounts payable and accrued expenses within the Consolidated Balance Sheet as of December 31,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Net Loss per Share</w:t>
      </w:r>
    </w:p>
    <w:p>
      <w:pPr>
        <w:spacing w:after="0" w:line="121"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the years ended December 31, 2019, 2018 and 2017 is the same as basic loss per share as the inclusion of potentially issuable shares would be antidilutive.</w:t>
      </w:r>
    </w:p>
    <w:p>
      <w:pPr>
        <w:spacing w:after="0" w:line="39"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(amounts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436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2"/>
              <w:spacing w:after="0" w:line="155"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Net loss</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(21,938)</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(23,845)</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(54,647)</w:t>
            </w:r>
          </w:p>
        </w:tc>
      </w:tr>
      <w:tr>
        <w:trPr>
          <w:trHeight w:val="230"/>
        </w:trPr>
        <w:tc>
          <w:tcPr>
            <w:tcW w:w="580" w:type="dxa"/>
            <w:vAlign w:val="bottom"/>
          </w:tcPr>
          <w:p>
            <w:pPr>
              <w:spacing w:after="0"/>
              <w:rPr>
                <w:sz w:val="19"/>
                <w:szCs w:val="19"/>
                <w:color w:val="auto"/>
              </w:rPr>
            </w:pPr>
          </w:p>
        </w:tc>
        <w:tc>
          <w:tcPr>
            <w:tcW w:w="5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Less: Net loss attributable to noncontrolling interests</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(8,894)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(15,934)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(38,503)</w:t>
            </w:r>
          </w:p>
        </w:tc>
      </w:tr>
      <w:tr>
        <w:trPr>
          <w:trHeight w:val="223"/>
        </w:trPr>
        <w:tc>
          <w:tcPr>
            <w:tcW w:w="580" w:type="dxa"/>
            <w:vAlign w:val="bottom"/>
          </w:tcPr>
          <w:p>
            <w:pPr>
              <w:spacing w:after="0"/>
              <w:rPr>
                <w:sz w:val="19"/>
                <w:szCs w:val="19"/>
                <w:color w:val="auto"/>
              </w:rPr>
            </w:pPr>
          </w:p>
        </w:tc>
        <w:tc>
          <w:tcPr>
            <w:tcW w:w="57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32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(13,044)</w:t>
            </w:r>
          </w:p>
        </w:tc>
        <w:tc>
          <w:tcPr>
            <w:tcW w:w="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(7,911)</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Less: Deemed distribution to related party (Note 13)</w:t>
            </w:r>
          </w:p>
        </w:tc>
        <w:tc>
          <w:tcPr>
            <w:tcW w:w="3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96"/>
              </w:rPr>
              <w:t>Net loss attributable to common shareholders of vTv Therapeutics Inc.,</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700" w:type="dxa"/>
            <w:vAlign w:val="bottom"/>
            <w:gridSpan w:val="2"/>
          </w:tcPr>
          <w:p>
            <w:pPr>
              <w:ind w:left="380"/>
              <w:spacing w:after="0"/>
              <w:rPr>
                <w:sz w:val="20"/>
                <w:szCs w:val="20"/>
                <w:color w:val="auto"/>
              </w:rPr>
            </w:pPr>
            <w:r>
              <w:rPr>
                <w:rFonts w:ascii="Arial" w:cs="Arial" w:eastAsia="Arial" w:hAnsi="Arial"/>
                <w:sz w:val="18"/>
                <w:szCs w:val="18"/>
                <w:color w:val="auto"/>
              </w:rPr>
              <w:t>basic and diluted</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(17,913)</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(8,650)</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(16,144)</w:t>
            </w:r>
          </w:p>
        </w:tc>
      </w:tr>
      <w:tr>
        <w:trPr>
          <w:trHeight w:val="223"/>
        </w:trPr>
        <w:tc>
          <w:tcPr>
            <w:tcW w:w="580" w:type="dxa"/>
            <w:vAlign w:val="bottom"/>
          </w:tcPr>
          <w:p>
            <w:pPr>
              <w:spacing w:after="0"/>
              <w:rPr>
                <w:sz w:val="19"/>
                <w:szCs w:val="19"/>
                <w:color w:val="auto"/>
              </w:rPr>
            </w:pPr>
          </w:p>
        </w:tc>
        <w:tc>
          <w:tcPr>
            <w:tcW w:w="5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Weighted-average vTv Therapeutics Inc. Class A Common</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70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Stock, basic and diluted</w:t>
            </w:r>
          </w:p>
        </w:tc>
        <w:tc>
          <w:tcPr>
            <w:tcW w:w="32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30,292,030</w:t>
            </w:r>
          </w:p>
        </w:tc>
        <w:tc>
          <w:tcPr>
            <w:tcW w:w="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12,449,236</w:t>
            </w: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9,693,254</w:t>
            </w:r>
          </w:p>
        </w:tc>
        <w:tc>
          <w:tcPr>
            <w:tcW w:w="100" w:type="dxa"/>
            <w:vAlign w:val="bottom"/>
            <w:tcBorders>
              <w:bottom w:val="single" w:sz="8" w:color="CFF0FC"/>
            </w:tcBorders>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57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5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4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(0.69)</w:t>
            </w: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w:t>
            </w:r>
          </w:p>
        </w:tc>
      </w:tr>
      <w:tr>
        <w:trPr>
          <w:trHeight w:val="20"/>
        </w:trPr>
        <w:tc>
          <w:tcPr>
            <w:tcW w:w="580" w:type="dxa"/>
            <w:vAlign w:val="bottom"/>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4680" w:type="dxa"/>
            <w:vAlign w:val="bottom"/>
            <w:tcBorders>
              <w:top w:val="single" w:sz="8" w:color="CFF0FC"/>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13"/>
        </w:trPr>
        <w:tc>
          <w:tcPr>
            <w:tcW w:w="8300" w:type="dxa"/>
            <w:vAlign w:val="bottom"/>
            <w:gridSpan w:val="12"/>
          </w:tcPr>
          <w:p>
            <w:pPr>
              <w:jc w:val="right"/>
              <w:ind w:right="280"/>
              <w:spacing w:after="0"/>
              <w:rPr>
                <w:sz w:val="20"/>
                <w:szCs w:val="20"/>
                <w:color w:val="auto"/>
              </w:rPr>
            </w:pPr>
            <w:r>
              <w:rPr>
                <w:rFonts w:ascii="Arial" w:cs="Arial" w:eastAsia="Arial" w:hAnsi="Arial"/>
                <w:sz w:val="18"/>
                <w:szCs w:val="18"/>
                <w:color w:val="auto"/>
                <w:w w:val="98"/>
              </w:rPr>
              <w:t>Potentially dilutive securities not included in the calculation of dilutive net loss per share are as follows: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0"/>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436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23,119,246</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2,531,143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1,767,503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1,960,732</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Letter Agreement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6,250,000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4,619,566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2,283,105</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2,014,503</w:t>
            </w:r>
          </w:p>
        </w:tc>
        <w:tc>
          <w:tcPr>
            <w:tcW w:w="20" w:type="dxa"/>
            <w:vAlign w:val="bottom"/>
            <w:tcBorders>
              <w:bottom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1,248,041</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388,853</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33,901,534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30,752,664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27,786,936</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4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310" w:lineRule="exact"/>
        <w:rPr>
          <w:sz w:val="20"/>
          <w:szCs w:val="20"/>
          <w:color w:val="auto"/>
        </w:rPr>
      </w:pPr>
    </w:p>
    <w:p>
      <w:pPr>
        <w:ind w:left="900" w:hanging="379"/>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18: Quarterly Financial Data (Unaudited)</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following interim financial information presents our 2019 and 2018 results of operations on a quarterly basis (in thousands, except per share amounts):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Operating loss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(3,982)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(5,960)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loss attributable to vTv Therapeutics Inc.</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(5,883)</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(2,882)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w w:val="99"/>
              </w:rPr>
              <w:t>Net loss per share of vTv Therapeutics Inc. Class A Common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Stock, basic and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392"/>
        </w:trPr>
        <w:tc>
          <w:tcPr>
            <w:tcW w:w="4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(9,134)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(8,858)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loss before noncontrolling interest</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(9,960)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(9,596)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(2,952)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Net loss attributable to vTv Therapeutics Inc.</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w w:val="99"/>
              </w:rPr>
              <w:t>Net loss per share of vTv Therapeutics Inc. Class A Common</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basic and diluted</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(0.30)</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of Financial Instruments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 of the Company’s Loan Agreement is considered to approximate its carrying value because it bears interest at a variable interest rate.</w:t>
      </w:r>
    </w:p>
    <w:p>
      <w:pPr>
        <w:spacing w:after="0" w:line="14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Company measures the value of its investment in Reneo at cost minus impairment, if any, plus or minus changes resulting from observable price changes in orderly transactions for the identical or similar investment. Since acquiring the Reneo investment in December 2017, there have been no observable price changes in identical or similar investments, nor were there any indications of impairment. As such, the value of the Company’s investment in Reneo has not been remeasured.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December 31, 2019, 2018 and 2017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00" w:type="dxa"/>
            <w:vAlign w:val="bottom"/>
            <w:vMerge w:val="restart"/>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bottom w:val="single" w:sz="8" w:color="CFF0FC"/>
            </w:tcBorders>
            <w:vMerge w:val="continue"/>
          </w:tcPr>
          <w:p>
            <w:pPr>
              <w:spacing w:after="0"/>
              <w:rPr>
                <w:sz w:val="19"/>
                <w:szCs w:val="19"/>
                <w:color w:val="auto"/>
              </w:rPr>
            </w:pPr>
          </w:p>
        </w:tc>
        <w:tc>
          <w:tcPr>
            <w:tcW w:w="14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F-25</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8" w:name="page119"/>
    <w:bookmarkEnd w:id="118"/>
    <w:tbl>
      <w:tblPr>
        <w:tblLayout w:type="fixed"/>
        <w:tblInd w:w="5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60" w:type="dxa"/>
            <w:vAlign w:val="bottom"/>
            <w:vMerge w:val="restart"/>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vMerge w:val="continue"/>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right="300" w:hanging="512"/>
        <w:spacing w:after="0" w:line="255"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a portfolio of selected stocks of companies believed to have market and economic characteristics similar to its own. The risk-free rate is based on the U.S. Treasury yield curve in effect at the time of valuation.</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80" w:type="dxa"/>
            <w:vAlign w:val="bottom"/>
            <w:gridSpan w:val="14"/>
          </w:tcPr>
          <w:p>
            <w:pPr>
              <w:jc w:val="center"/>
              <w:ind w:right="280"/>
              <w:spacing w:after="0"/>
              <w:rPr>
                <w:sz w:val="20"/>
                <w:szCs w:val="20"/>
                <w:color w:val="auto"/>
              </w:rPr>
            </w:pPr>
            <w:r>
              <w:rPr>
                <w:rFonts w:ascii="Arial" w:cs="Arial" w:eastAsia="Arial" w:hAnsi="Arial"/>
                <w:sz w:val="14"/>
                <w:szCs w:val="14"/>
                <w:b w:val="1"/>
                <w:bCs w:val="1"/>
                <w:color w:val="auto"/>
                <w:w w:val="92"/>
              </w:rPr>
              <w:t>Changes in Level 3 Instruments for the years ended December 31, 2019, 2018 and 2017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Net Change in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fair value</w:t>
            </w:r>
          </w:p>
        </w:tc>
        <w:tc>
          <w:tcPr>
            <w:tcW w:w="120" w:type="dxa"/>
            <w:vAlign w:val="bottom"/>
          </w:tcPr>
          <w:p>
            <w:pPr>
              <w:spacing w:after="0"/>
              <w:rPr>
                <w:sz w:val="12"/>
                <w:szCs w:val="12"/>
                <w:color w:val="auto"/>
              </w:rPr>
            </w:pPr>
          </w:p>
        </w:tc>
        <w:tc>
          <w:tcPr>
            <w:tcW w:w="92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89"/>
              </w:rPr>
              <w:t>Purchases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Sales /</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earnings</w:t>
            </w:r>
          </w:p>
        </w:tc>
        <w:tc>
          <w:tcPr>
            <w:tcW w:w="120" w:type="dxa"/>
            <w:vAlign w:val="bottom"/>
          </w:tcPr>
          <w:p>
            <w:pPr>
              <w:spacing w:after="0"/>
              <w:rPr>
                <w:sz w:val="14"/>
                <w:szCs w:val="14"/>
                <w:color w:val="auto"/>
              </w:rPr>
            </w:pPr>
          </w:p>
        </w:tc>
        <w:tc>
          <w:tcPr>
            <w:tcW w:w="92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Issuance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Repurchases</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Warrant liability, related party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Warrant liability, related party</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Warrant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 liability, related party</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There were no transfers into or out of level 3 instruments and/or between level 1 and level 2 instruments during the years ended December 31, 2019, 2018 and 2017. Gains and losses recognized due to the change in fair value of the warrant liability, related party are recognized as a component of other income (expense), related party in the Consolidated Statements of Operations</w:t>
      </w:r>
    </w:p>
    <w:p>
      <w:pPr>
        <w:spacing w:after="0" w:line="73" w:lineRule="exact"/>
        <w:rPr>
          <w:sz w:val="20"/>
          <w:szCs w:val="20"/>
          <w:color w:val="auto"/>
        </w:rPr>
      </w:pPr>
    </w:p>
    <w:p>
      <w:pPr>
        <w:ind w:right="180" w:firstLine="476"/>
        <w:spacing w:after="0" w:line="259" w:lineRule="auto"/>
        <w:rPr>
          <w:sz w:val="20"/>
          <w:szCs w:val="20"/>
          <w:color w:val="auto"/>
        </w:rPr>
      </w:pPr>
      <w:r>
        <w:rPr>
          <w:rFonts w:ascii="Arial" w:cs="Arial" w:eastAsia="Arial" w:hAnsi="Arial"/>
          <w:sz w:val="18"/>
          <w:szCs w:val="18"/>
          <w:color w:val="auto"/>
        </w:rPr>
        <w:t>The fair value of the Letter Agreement Warrants was determined using the Black-Scholes option pricing model or option pricing models based on the Company’s current capitalization. Expected volatility is based on a portfolio of selected stocks of companies believed to have market and economic characteristics similar to its own. The risk-free rate is based on the U.S. Treasury yield curve in effect at the time of valuation. Significant inputs utilized in the valuation of the Letter Agreement Warrants were:</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680" w:type="dxa"/>
            <w:vAlign w:val="bottom"/>
            <w:gridSpan w:val="2"/>
          </w:tcPr>
          <w:p>
            <w:pPr>
              <w:ind w:left="740"/>
              <w:spacing w:after="0"/>
              <w:rPr>
                <w:sz w:val="20"/>
                <w:szCs w:val="20"/>
                <w:color w:val="auto"/>
              </w:rPr>
            </w:pPr>
            <w:r>
              <w:rPr>
                <w:rFonts w:ascii="Arial" w:cs="Arial" w:eastAsia="Arial" w:hAnsi="Arial"/>
                <w:sz w:val="14"/>
                <w:szCs w:val="14"/>
                <w:b w:val="1"/>
                <w:bCs w:val="1"/>
                <w:color w:val="auto"/>
              </w:rPr>
              <w:t>December 31, 2019</w:t>
            </w:r>
          </w:p>
        </w:tc>
        <w:tc>
          <w:tcPr>
            <w:tcW w:w="2700" w:type="dxa"/>
            <w:vAlign w:val="bottom"/>
            <w:gridSpan w:val="2"/>
          </w:tcPr>
          <w:p>
            <w:pPr>
              <w:ind w:left="760"/>
              <w:spacing w:after="0"/>
              <w:rPr>
                <w:sz w:val="20"/>
                <w:szCs w:val="20"/>
                <w:color w:val="auto"/>
              </w:rPr>
            </w:pPr>
            <w:r>
              <w:rPr>
                <w:rFonts w:ascii="Arial" w:cs="Arial" w:eastAsia="Arial" w:hAnsi="Arial"/>
                <w:sz w:val="14"/>
                <w:szCs w:val="14"/>
                <w:b w:val="1"/>
                <w:bCs w:val="1"/>
                <w:color w:val="auto"/>
              </w:rPr>
              <w:t>December 31, 2018</w:t>
            </w:r>
          </w:p>
        </w:tc>
      </w:tr>
      <w:tr>
        <w:trPr>
          <w:trHeight w:val="26"/>
        </w:trPr>
        <w:tc>
          <w:tcPr>
            <w:tcW w:w="490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1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- 123.83%</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w:t>
            </w:r>
          </w:p>
        </w:tc>
        <w:tc>
          <w:tcPr>
            <w:tcW w:w="1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- 115.04%</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1.69%</w:t>
            </w:r>
          </w:p>
        </w:tc>
        <w:tc>
          <w:tcPr>
            <w:tcW w:w="1400" w:type="dxa"/>
            <w:vAlign w:val="bottom"/>
          </w:tcPr>
          <w:p>
            <w:pPr>
              <w:ind w:left="20"/>
              <w:spacing w:after="0"/>
              <w:rPr>
                <w:sz w:val="20"/>
                <w:szCs w:val="20"/>
                <w:color w:val="auto"/>
              </w:rPr>
            </w:pPr>
            <w:r>
              <w:rPr>
                <w:rFonts w:ascii="Arial" w:cs="Arial" w:eastAsia="Arial" w:hAnsi="Arial"/>
                <w:sz w:val="18"/>
                <w:szCs w:val="18"/>
                <w:color w:val="auto"/>
              </w:rPr>
              <w:t>- 1.83%</w:t>
            </w:r>
          </w:p>
        </w:tc>
        <w:tc>
          <w:tcPr>
            <w:tcW w:w="1280" w:type="dxa"/>
            <w:vAlign w:val="bottom"/>
          </w:tcPr>
          <w:p>
            <w:pPr>
              <w:jc w:val="right"/>
              <w:spacing w:after="0"/>
              <w:rPr>
                <w:sz w:val="20"/>
                <w:szCs w:val="20"/>
                <w:color w:val="auto"/>
              </w:rPr>
            </w:pPr>
            <w:r>
              <w:rPr>
                <w:rFonts w:ascii="Arial" w:cs="Arial" w:eastAsia="Arial" w:hAnsi="Arial"/>
                <w:sz w:val="18"/>
                <w:szCs w:val="18"/>
                <w:color w:val="auto"/>
              </w:rPr>
              <w:t>2.59%</w:t>
            </w:r>
          </w:p>
        </w:tc>
        <w:tc>
          <w:tcPr>
            <w:tcW w:w="1420" w:type="dxa"/>
            <w:vAlign w:val="bottom"/>
          </w:tcPr>
          <w:p>
            <w:pPr>
              <w:ind w:left="20"/>
              <w:spacing w:after="0"/>
              <w:rPr>
                <w:sz w:val="20"/>
                <w:szCs w:val="20"/>
                <w:color w:val="auto"/>
              </w:rPr>
            </w:pPr>
            <w:r>
              <w:rPr>
                <w:rFonts w:ascii="Arial" w:cs="Arial" w:eastAsia="Arial" w:hAnsi="Arial"/>
                <w:sz w:val="18"/>
                <w:szCs w:val="18"/>
                <w:color w:val="auto"/>
              </w:rPr>
              <w:t>- 2.69%</w:t>
            </w:r>
          </w:p>
        </w:tc>
      </w:tr>
    </w:tbl>
    <w:p>
      <w:pPr>
        <w:spacing w:after="0" w:line="93"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For the Company’s warrants, increases (decreases) in the estimates of the Company’s annual volatility would increase (decrease) the liability and an increase (decrease) in the annual risk-free rate would increase (decrease) the liability.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121" w:lineRule="exact"/>
        <w:rPr>
          <w:sz w:val="20"/>
          <w:szCs w:val="20"/>
          <w:color w:val="auto"/>
        </w:rPr>
      </w:pPr>
    </w:p>
    <w:p>
      <w:pPr>
        <w:ind w:right="120" w:firstLine="571"/>
        <w:spacing w:after="0" w:line="342" w:lineRule="auto"/>
        <w:rPr>
          <w:sz w:val="20"/>
          <w:szCs w:val="20"/>
          <w:color w:val="auto"/>
        </w:rPr>
      </w:pPr>
      <w:r>
        <w:rPr>
          <w:rFonts w:ascii="Arial" w:cs="Arial" w:eastAsia="Arial" w:hAnsi="Arial"/>
          <w:sz w:val="16"/>
          <w:szCs w:val="16"/>
          <w:color w:val="auto"/>
        </w:rPr>
        <w:t>Subsequent to December 31, 2019, the Company exercised its right to cause MacAndrews &amp; Forbes Group LLC to purchase an additional 2,500,000 shares of its Class A Common Stock at a per share price of $1.60 pursuant to the terms of the December 2019 Letter Agreement for $4.0 million in cash.</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33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CAPITAL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ind w:right="140" w:firstLine="877"/>
        <w:spacing w:after="0" w:line="293" w:lineRule="auto"/>
        <w:rPr>
          <w:sz w:val="20"/>
          <w:szCs w:val="20"/>
          <w:color w:val="auto"/>
        </w:rPr>
      </w:pPr>
      <w:r>
        <w:rPr>
          <w:rFonts w:ascii="Arial" w:cs="Arial" w:eastAsia="Arial" w:hAnsi="Arial"/>
          <w:sz w:val="16"/>
          <w:szCs w:val="16"/>
          <w:color w:val="auto"/>
        </w:rPr>
        <w:t>Our authorized capital stock consists of 100,000,000 shares of Class A common stock, par value $0.01 per share, 100,000,000 shares of Class B common stock, par value $0.01 per share, and 50,000,000 shares of preferred stock, par value $0.01 per share. As of February [___], 2020, we have approximately [42,168,522] shares of our Class A common stock outstanding, 23,094,221 shares of our Class B common stock outstanding and no shares of preferred stock outstanding. As of February [___], 2020, there were approximately [21] holders of record of our Class A common stock and [7] holders of record of our Class B common stock. Because almost all of the shares of our Class A common stock are held by brokers, nominees and other institutions on behalf of shareholders, we are unable to estimate the total number of shareholders represented by these record 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20" w:firstLine="877"/>
        <w:spacing w:after="0" w:line="255"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Holders of our Class A common stock and Class B common stock are entitled to one vote for each share held on all matters submitted to</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for their vote or approval. The holders of our Class A common stock and Class B common stock vote together as a single class on all matters submitted to stockholders for their vote or approval, except with respect to the amendment of certain provisions of our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w:t>
      </w:r>
    </w:p>
    <w:p>
      <w:pPr>
        <w:spacing w:after="0" w:line="193" w:lineRule="exact"/>
        <w:rPr>
          <w:sz w:val="20"/>
          <w:szCs w:val="20"/>
          <w:color w:val="auto"/>
        </w:rPr>
      </w:pPr>
    </w:p>
    <w:p>
      <w:pPr>
        <w:ind w:right="60" w:firstLine="877"/>
        <w:spacing w:after="0" w:line="271" w:lineRule="auto"/>
        <w:rPr>
          <w:sz w:val="20"/>
          <w:szCs w:val="20"/>
          <w:color w:val="auto"/>
        </w:rPr>
      </w:pPr>
      <w:r>
        <w:rPr>
          <w:rFonts w:ascii="Arial" w:cs="Arial" w:eastAsia="Arial" w:hAnsi="Arial"/>
          <w:sz w:val="17"/>
          <w:szCs w:val="17"/>
          <w:color w:val="auto"/>
        </w:rPr>
        <w:t>As of December 31, 2019, subsidiaries and affiliates of MacAndrews &amp; Forbes Incorporated (collectively “MacAndrews”) hold 23,084,267 shares of our Class B common stock and 30,356,212 shares of our Class A common stock and therefore control approximately 83.5% of the combined voting power of our outstanding common stock. As a result, MacAndrews is able to control our business policies and affairs and any action requiring the general approval of our stockholders, including the adoption of amendments to our certificate of incorporation and bylaws, the approval of mergers or sales of substantially all of our assets and the removal of members of our Board of Directors with or without cause. MacAndrews also has the power to nominate a majority of the members to our Board of Directors under our investor rights agreement. The concentration of ownership and voting power of MacAndrews may also delay, defer or even prevent an acquisition by a third party or other change of control of our company and may make some transactions more difficult or impossible without the support of MacAndrews, even if such events are in the best interests of minority stockholders.</w:t>
      </w:r>
    </w:p>
    <w:p>
      <w:pPr>
        <w:spacing w:after="0" w:line="179" w:lineRule="exact"/>
        <w:rPr>
          <w:sz w:val="20"/>
          <w:szCs w:val="20"/>
          <w:color w:val="auto"/>
        </w:rPr>
      </w:pPr>
    </w:p>
    <w:p>
      <w:pPr>
        <w:ind w:right="80" w:firstLine="877"/>
        <w:spacing w:after="0" w:line="286"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The holders of Class A common stock are entitled to receive dividends when, as, and if declared by our Board of Directors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legally available funds. The holders of our Class B common stock do not have any right to receive dividends other than dividends consisting of shares of our Class B common stock paid proportionally with respect to each outstanding share of our Class B common stock.</w:t>
      </w:r>
    </w:p>
    <w:p>
      <w:pPr>
        <w:spacing w:after="0" w:line="166" w:lineRule="exact"/>
        <w:rPr>
          <w:sz w:val="20"/>
          <w:szCs w:val="20"/>
          <w:color w:val="auto"/>
        </w:rPr>
      </w:pPr>
    </w:p>
    <w:p>
      <w:pPr>
        <w:ind w:right="60" w:firstLine="877"/>
        <w:spacing w:after="0" w:line="259" w:lineRule="auto"/>
        <w:rPr>
          <w:sz w:val="20"/>
          <w:szCs w:val="20"/>
          <w:color w:val="auto"/>
        </w:rPr>
      </w:pPr>
      <w:r>
        <w:rPr>
          <w:rFonts w:ascii="Arial" w:cs="Arial" w:eastAsia="Arial" w:hAnsi="Arial"/>
          <w:sz w:val="18"/>
          <w:szCs w:val="18"/>
          <w:i w:val="1"/>
          <w:iCs w:val="1"/>
          <w:color w:val="auto"/>
        </w:rPr>
        <w:t>Liquidation or Dissolution</w:t>
      </w:r>
      <w:r>
        <w:rPr>
          <w:rFonts w:ascii="Arial" w:cs="Arial" w:eastAsia="Arial" w:hAnsi="Arial"/>
          <w:sz w:val="18"/>
          <w:szCs w:val="18"/>
          <w:color w:val="auto"/>
        </w:rPr>
        <w:t>. Upon our liquidation or dissolution, the holders of our Class A common stock are entitled to share ratably in those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assets that are legally available for distribution to stockholders after payment of liabilities and subject to the prior rights of any holders of preferred stock then outstanding. Other than their par value, the holders of our Class B common stock do not have any right to receive a distribution upon a liquidation or dissolution of our company.</w:t>
      </w:r>
    </w:p>
    <w:p>
      <w:pPr>
        <w:spacing w:after="0" w:line="187" w:lineRule="exact"/>
        <w:rPr>
          <w:sz w:val="20"/>
          <w:szCs w:val="20"/>
          <w:color w:val="auto"/>
        </w:rPr>
      </w:pPr>
    </w:p>
    <w:p>
      <w:pPr>
        <w:ind w:right="120" w:firstLine="877"/>
        <w:spacing w:after="0" w:line="255" w:lineRule="auto"/>
        <w:rPr>
          <w:sz w:val="20"/>
          <w:szCs w:val="20"/>
          <w:color w:val="auto"/>
        </w:rPr>
      </w:pPr>
      <w:r>
        <w:rPr>
          <w:rFonts w:ascii="Arial" w:cs="Arial" w:eastAsia="Arial" w:hAnsi="Arial"/>
          <w:sz w:val="18"/>
          <w:szCs w:val="18"/>
          <w:i w:val="1"/>
          <w:iCs w:val="1"/>
          <w:color w:val="auto"/>
        </w:rPr>
        <w:t>Transferability and Exchange</w:t>
      </w:r>
      <w:r>
        <w:rPr>
          <w:rFonts w:ascii="Arial" w:cs="Arial" w:eastAsia="Arial" w:hAnsi="Arial"/>
          <w:sz w:val="18"/>
          <w:szCs w:val="18"/>
          <w:color w:val="auto"/>
        </w:rPr>
        <w:t>. Subject to the terms of an exchange agreement and the operating agreement of vTv Therapeutics LLC (“vTv</w:t>
      </w:r>
      <w:r>
        <w:rPr>
          <w:rFonts w:ascii="Arial" w:cs="Arial" w:eastAsia="Arial" w:hAnsi="Arial"/>
          <w:sz w:val="18"/>
          <w:szCs w:val="18"/>
          <w:i w:val="1"/>
          <w:iCs w:val="1"/>
          <w:color w:val="auto"/>
        </w:rPr>
        <w:t xml:space="preserve"> </w:t>
      </w:r>
      <w:r>
        <w:rPr>
          <w:rFonts w:ascii="Arial" w:cs="Arial" w:eastAsia="Arial" w:hAnsi="Arial"/>
          <w:sz w:val="18"/>
          <w:szCs w:val="18"/>
          <w:color w:val="auto"/>
        </w:rPr>
        <w:t>LLC”), our principal operating subsidiary, units of vTv LLC (along with a corresponding number of shares of our Class B common stock) are exchangeable for (i) shares of our Class A common stock or (ii) cash (based on the market price of the shares of Class A common stock), at our option (as the managing member of vTv LLC). Any decision to require an exchange for cash rather than shares of Class A common stock will ultimately be determined by our entire Board of Directors. Each such exchange will be on a one-for-one equivalent basis, subject to customary conversion rate adjustments for stock splits, stock dividends and reclassifications. Shares of Class B common stock may not be transferred except in connection with an exchange or transfer of units of vTv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ind w:left="880"/>
        <w:spacing w:after="0"/>
        <w:rPr>
          <w:sz w:val="20"/>
          <w:szCs w:val="20"/>
          <w:color w:val="auto"/>
        </w:rPr>
      </w:pPr>
      <w:r>
        <w:rPr>
          <w:rFonts w:ascii="Arial" w:cs="Arial" w:eastAsia="Arial" w:hAnsi="Arial"/>
          <w:sz w:val="18"/>
          <w:szCs w:val="18"/>
          <w:color w:val="auto"/>
        </w:rPr>
        <w:t>Upon exchange, each share of our Class B common stock will be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60" w:firstLine="877"/>
        <w:spacing w:after="0" w:line="291" w:lineRule="auto"/>
        <w:rPr>
          <w:sz w:val="20"/>
          <w:szCs w:val="20"/>
          <w:color w:val="auto"/>
        </w:rPr>
      </w:pPr>
      <w:r>
        <w:rPr>
          <w:rFonts w:ascii="Arial" w:cs="Arial" w:eastAsia="Arial" w:hAnsi="Arial"/>
          <w:sz w:val="16"/>
          <w:szCs w:val="16"/>
          <w:color w:val="auto"/>
        </w:rPr>
        <w:t>We have been authorized to issue up to 50,000,000 shares of preferred stock. Our board of directors has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has also been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Class A common stock and Class B common stock, which could have an adverse impact on the market price of our Class A common stock. We have no current plan to issue any shares of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229" w:lineRule="exact"/>
        <w:rPr>
          <w:sz w:val="20"/>
          <w:szCs w:val="20"/>
          <w:color w:val="auto"/>
        </w:rPr>
      </w:pPr>
    </w:p>
    <w:p>
      <w:pPr>
        <w:ind w:right="60" w:firstLine="877"/>
        <w:spacing w:after="0" w:line="273"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the doctrine of “corporate opportunity” will not apply to MacAndrews, any of our non-employee directors who are employees, affiliates or consultants of MacAndrews or its affiliates (other than us or our subsidiaries) or any of their respective affiliates in a manner that would prohibit them from investing in competing businesses or doing business with our clients or customers. See “Risk Factors—Risks Relating to this Offering and Ownership of Our Class A Common Stock—MacAndrews has substantial influence over our business, and their interests may differ from our interests or those of our other stockholders” in our Annual Report on Form 10-K for the year ended December 31, 2019, which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229" w:lineRule="exact"/>
        <w:rPr>
          <w:sz w:val="20"/>
          <w:szCs w:val="20"/>
          <w:color w:val="auto"/>
        </w:rPr>
      </w:pPr>
    </w:p>
    <w:p>
      <w:pPr>
        <w:ind w:right="180" w:firstLine="877"/>
        <w:spacing w:after="0" w:line="264" w:lineRule="auto"/>
        <w:rPr>
          <w:sz w:val="20"/>
          <w:szCs w:val="20"/>
          <w:color w:val="auto"/>
        </w:rPr>
      </w:pPr>
      <w:r>
        <w:rPr>
          <w:rFonts w:ascii="Arial" w:cs="Arial" w:eastAsia="Arial" w:hAnsi="Arial"/>
          <w:sz w:val="18"/>
          <w:szCs w:val="18"/>
          <w:color w:val="auto"/>
        </w:rPr>
        <w:t>Our amended and restated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us unless such takeover or change in control is approved by our Board of Directors.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These provisions include:</w:t>
      </w:r>
    </w:p>
    <w:p>
      <w:pPr>
        <w:spacing w:after="0" w:line="225" w:lineRule="exact"/>
        <w:rPr>
          <w:sz w:val="20"/>
          <w:szCs w:val="20"/>
          <w:color w:val="auto"/>
        </w:rPr>
      </w:pPr>
    </w:p>
    <w:p>
      <w:pPr>
        <w:ind w:firstLine="877"/>
        <w:spacing w:after="0" w:line="272" w:lineRule="auto"/>
        <w:rPr>
          <w:sz w:val="20"/>
          <w:szCs w:val="20"/>
          <w:color w:val="auto"/>
        </w:rPr>
      </w:pPr>
      <w:r>
        <w:rPr>
          <w:rFonts w:ascii="Arial" w:cs="Arial" w:eastAsia="Arial" w:hAnsi="Arial"/>
          <w:sz w:val="17"/>
          <w:szCs w:val="17"/>
          <w:i w:val="1"/>
          <w:iCs w:val="1"/>
          <w:color w:val="auto"/>
        </w:rPr>
        <w:t>Action by Written Consent; Special Meetings of Stockholders</w:t>
      </w:r>
      <w:r>
        <w:rPr>
          <w:rFonts w:ascii="Arial" w:cs="Arial" w:eastAsia="Arial" w:hAnsi="Arial"/>
          <w:sz w:val="17"/>
          <w:szCs w:val="17"/>
          <w:color w:val="auto"/>
        </w:rPr>
        <w:t>. Our amended and restated certificate of incorporation provides that, following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on which MacAndrews ceases to beneficially own more than 50% of our common stock (the “Triggering Event”), stockholder action can be taken only at an annual or special meeting of stockholders and cannot be taken by written consent in lieu of a meeting. Our amended and restated certificate of incorporation and bylaws also provide that, except as otherwise required by law, special meetings of the stockholders can only be called by the chairman or vice-chairman of the board, the chief executive officer, or pursuant to a resolution adopted by a majority of the Board of Directors or, until the Triggering Event, at the request of holders of 50% or more of our outstanding shares of common stock. Except as described above, stockholders will not be permitted to call a special meeting or to require the Board of Directors to call a special meeting.</w:t>
      </w:r>
    </w:p>
    <w:p>
      <w:pPr>
        <w:spacing w:after="0" w:line="178" w:lineRule="exact"/>
        <w:rPr>
          <w:sz w:val="20"/>
          <w:szCs w:val="20"/>
          <w:color w:val="auto"/>
        </w:rPr>
      </w:pPr>
    </w:p>
    <w:p>
      <w:pPr>
        <w:ind w:right="40" w:firstLine="877"/>
        <w:spacing w:after="0" w:line="293" w:lineRule="auto"/>
        <w:rPr>
          <w:sz w:val="20"/>
          <w:szCs w:val="20"/>
          <w:color w:val="auto"/>
        </w:rPr>
      </w:pPr>
      <w:r>
        <w:rPr>
          <w:rFonts w:ascii="Arial" w:cs="Arial" w:eastAsia="Arial" w:hAnsi="Arial"/>
          <w:sz w:val="16"/>
          <w:szCs w:val="16"/>
          <w:i w:val="1"/>
          <w:iCs w:val="1"/>
          <w:color w:val="auto"/>
        </w:rPr>
        <w:t>Advance Notice Procedures</w:t>
      </w:r>
      <w:r>
        <w:rPr>
          <w:rFonts w:ascii="Arial" w:cs="Arial" w:eastAsia="Arial" w:hAnsi="Arial"/>
          <w:sz w:val="16"/>
          <w:szCs w:val="16"/>
          <w:color w:val="auto"/>
        </w:rPr>
        <w:t>. Our bylaws establish an advance notice procedure for stockholder proposals to be brought before an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21" w:name="page122"/>
    <w:bookmarkEnd w:id="121"/>
    <w:p>
      <w:pPr>
        <w:ind w:right="60"/>
        <w:spacing w:after="0" w:line="264" w:lineRule="auto"/>
        <w:rPr>
          <w:sz w:val="20"/>
          <w:szCs w:val="20"/>
          <w:color w:val="auto"/>
        </w:rPr>
      </w:pPr>
      <w:r>
        <w:rPr>
          <w:rFonts w:ascii="Arial" w:cs="Arial" w:eastAsia="Arial" w:hAnsi="Arial"/>
          <w:sz w:val="18"/>
          <w:szCs w:val="18"/>
          <w:color w:val="auto"/>
        </w:rPr>
        <w:t>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81" w:lineRule="exact"/>
        <w:rPr>
          <w:sz w:val="20"/>
          <w:szCs w:val="20"/>
          <w:color w:val="auto"/>
        </w:rPr>
      </w:pPr>
    </w:p>
    <w:p>
      <w:pPr>
        <w:ind w:right="120" w:firstLine="877"/>
        <w:spacing w:after="0" w:line="264" w:lineRule="auto"/>
        <w:rPr>
          <w:sz w:val="20"/>
          <w:szCs w:val="20"/>
          <w:color w:val="auto"/>
        </w:rPr>
      </w:pPr>
      <w:r>
        <w:rPr>
          <w:rFonts w:ascii="Arial" w:cs="Arial" w:eastAsia="Arial" w:hAnsi="Arial"/>
          <w:sz w:val="18"/>
          <w:szCs w:val="18"/>
          <w:i w:val="1"/>
          <w:iCs w:val="1"/>
          <w:color w:val="auto"/>
        </w:rPr>
        <w:t xml:space="preserve">Vacancies and Newly-Created Directorships on the Board of Directors. </w:t>
      </w:r>
      <w:r>
        <w:rPr>
          <w:rFonts w:ascii="Arial" w:cs="Arial" w:eastAsia="Arial" w:hAnsi="Arial"/>
          <w:sz w:val="18"/>
          <w:szCs w:val="18"/>
          <w:color w:val="auto"/>
        </w:rPr>
        <w:t>Our bylaws provide that the Board of Directors can fill vacancies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In addition, the Board of Directors will be permitted to increase the number of directors and fill the vacant positions. These provisions could make it more difficult for shareholders to affect the composition of our Board of Directors.</w:t>
      </w:r>
    </w:p>
    <w:p>
      <w:pPr>
        <w:spacing w:after="0" w:line="181"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Our authorized but unissued shares of common stock and preferred stock will be available for future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88" w:lineRule="exact"/>
        <w:rPr>
          <w:sz w:val="20"/>
          <w:szCs w:val="20"/>
          <w:color w:val="auto"/>
        </w:rPr>
      </w:pPr>
    </w:p>
    <w:p>
      <w:pPr>
        <w:ind w:right="180" w:firstLine="877"/>
        <w:spacing w:after="0" w:line="285" w:lineRule="auto"/>
        <w:rPr>
          <w:sz w:val="20"/>
          <w:szCs w:val="20"/>
          <w:color w:val="auto"/>
        </w:rPr>
      </w:pPr>
      <w:r>
        <w:rPr>
          <w:rFonts w:ascii="Arial" w:cs="Arial" w:eastAsia="Arial" w:hAnsi="Arial"/>
          <w:sz w:val="16"/>
          <w:szCs w:val="16"/>
          <w:i w:val="1"/>
          <w:iCs w:val="1"/>
          <w:color w:val="auto"/>
        </w:rPr>
        <w:t>Business Combinations with Interested Stockholders</w:t>
      </w:r>
      <w:r>
        <w:rPr>
          <w:rFonts w:ascii="Arial" w:cs="Arial" w:eastAsia="Arial" w:hAnsi="Arial"/>
          <w:sz w:val="16"/>
          <w:szCs w:val="16"/>
          <w:color w:val="auto"/>
        </w:rPr>
        <w:t>. We have elected in our amended and restated certificate of incorporation not to be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w:t>
      </w:r>
    </w:p>
    <w:p>
      <w:pPr>
        <w:spacing w:after="0" w:line="2" w:lineRule="exact"/>
        <w:rPr>
          <w:sz w:val="20"/>
          <w:szCs w:val="20"/>
          <w:color w:val="auto"/>
        </w:rPr>
      </w:pPr>
    </w:p>
    <w:p>
      <w:pPr>
        <w:ind w:firstLine="8"/>
        <w:spacing w:after="0" w:line="255" w:lineRule="auto"/>
        <w:tabs>
          <w:tab w:leader="none" w:pos="4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Nevertheless, our amended and restated certificate of incorporation contains provisions that have the same effect as Section 203, except that they provide that MacAndrews and its various affiliates, successors and transferees will not be deemed to be “interested stockholders,” regardless of the percentage of our voting stock owned by them, and accordingly will not be subject to such restrictions.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ind w:right="20" w:firstLine="877"/>
        <w:spacing w:after="0" w:line="285" w:lineRule="auto"/>
        <w:rPr>
          <w:sz w:val="20"/>
          <w:szCs w:val="20"/>
          <w:color w:val="auto"/>
        </w:rPr>
      </w:pPr>
      <w:r>
        <w:rPr>
          <w:rFonts w:ascii="Arial" w:cs="Arial" w:eastAsia="Arial" w:hAnsi="Arial"/>
          <w:sz w:val="16"/>
          <w:szCs w:val="16"/>
          <w:color w:val="auto"/>
        </w:rPr>
        <w:t>Our amended and restated certificate of incorporation provides that the Court of Chancery in the State of Delaware will be the sole and exclusive forum for (i) any derivative action or proceeding brought on our behalf, (ii) any action asserting a claim of breach of a fiduciary duty owed to us or our stockholders by our directors, officers or other employees, (iii) any action asserting a claim arising under the Delaware General Corporation Law, our amended and restated certificate of incorporation and amended and restated by-laws or (iv) any action asserting a claim that is governed by the internal affairs doctrine. It is possible that a court could rule that this provision is not applicable or is unenforceable. We may consent in writing to alternative</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forums. Stockholders will be deemed to have consented to the personal jurisdiction of the state and federal courts located within the State of Delaware and having service of process made on such stockholder’s counsel as agent for such stockholder.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229"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Our amended and restated certificate of incorporation limits the liability of our directors to the fullest extent permitted by the Delaware General Corporation Law and provides that we will provide them with customary indemnification. We expect to enter into customary indemnification agreements with each of our executive officers and directors that provide them, in general, with customary indemnification in connection with their service to us or on our behalf.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Securities Exchange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shares of Class A common stock are listed on The NASDAQ Capital Market under the symbol “VTVT”.</w:t>
      </w:r>
    </w:p>
    <w:p>
      <w:pPr>
        <w:sectPr>
          <w:pgSz w:w="11900" w:h="16838" w:orient="portrait"/>
          <w:cols w:equalWidth="0" w:num="1">
            <w:col w:w="10219"/>
          </w:cols>
          <w:pgMar w:left="240" w:top="121"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MacAndrews &amp; Forbes Group LLC</w:t>
      </w:r>
    </w:p>
    <w:p>
      <w:pPr>
        <w:jc w:val="center"/>
        <w:spacing w:after="0" w:line="228" w:lineRule="auto"/>
        <w:rPr>
          <w:sz w:val="20"/>
          <w:szCs w:val="20"/>
          <w:color w:val="auto"/>
        </w:rPr>
      </w:pPr>
      <w:r>
        <w:rPr>
          <w:rFonts w:ascii="Arial" w:cs="Arial" w:eastAsia="Arial" w:hAnsi="Arial"/>
          <w:sz w:val="18"/>
          <w:szCs w:val="18"/>
          <w:b w:val="1"/>
          <w:bCs w:val="1"/>
          <w:i w:val="1"/>
          <w:iCs w:val="1"/>
          <w:color w:val="auto"/>
        </w:rPr>
        <w:t>35 East 62</w:t>
      </w:r>
      <w:r>
        <w:rPr>
          <w:rFonts w:ascii="Arial" w:cs="Arial" w:eastAsia="Arial" w:hAnsi="Arial"/>
          <w:sz w:val="22"/>
          <w:szCs w:val="22"/>
          <w:b w:val="1"/>
          <w:bCs w:val="1"/>
          <w:i w:val="1"/>
          <w:iCs w:val="1"/>
          <w:color w:val="auto"/>
          <w:vertAlign w:val="superscript"/>
        </w:rPr>
        <w:t>nd</w:t>
      </w:r>
      <w:r>
        <w:rPr>
          <w:rFonts w:ascii="Arial" w:cs="Arial" w:eastAsia="Arial" w:hAnsi="Arial"/>
          <w:sz w:val="18"/>
          <w:szCs w:val="18"/>
          <w:b w:val="1"/>
          <w:bCs w:val="1"/>
          <w:i w:val="1"/>
          <w:iCs w:val="1"/>
          <w:color w:val="auto"/>
        </w:rPr>
        <w:t xml:space="preserve"> Street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New York, New York 10065</w:t>
      </w: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December 23,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vTv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3980 Premier Drive, Suite 310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Point, NC 27265</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Attn: Stephen L. Holcombe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39" w:lineRule="exact"/>
        <w:rPr>
          <w:sz w:val="20"/>
          <w:szCs w:val="20"/>
          <w:color w:val="auto"/>
        </w:rPr>
      </w:pPr>
    </w:p>
    <w:p>
      <w:pPr>
        <w:ind w:right="920" w:firstLine="815"/>
        <w:spacing w:after="0" w:line="312" w:lineRule="auto"/>
        <w:rPr>
          <w:sz w:val="20"/>
          <w:szCs w:val="20"/>
          <w:color w:val="auto"/>
        </w:rPr>
      </w:pPr>
      <w:r>
        <w:rPr>
          <w:rFonts w:ascii="Arial" w:cs="Arial" w:eastAsia="Arial" w:hAnsi="Arial"/>
          <w:sz w:val="16"/>
          <w:szCs w:val="16"/>
          <w:color w:val="auto"/>
        </w:rPr>
        <w:t>You have indicated an interest in an additional investment by MacAndrews &amp; Forbes Group LLC or one of its affiliates (collectively, “MacAndrews”) in Class A common stock, par value $0.01 (“Common Stock”), of vTv Therapeutics Inc. (the “Company”) in an amount of up to $10,000,000. I am pleased to present, for your board’s consideration, the terms on which we would agree to make such an additional investment.</w:t>
      </w:r>
    </w:p>
    <w:p>
      <w:pPr>
        <w:spacing w:after="0" w:line="160" w:lineRule="exact"/>
        <w:rPr>
          <w:sz w:val="20"/>
          <w:szCs w:val="20"/>
          <w:color w:val="auto"/>
        </w:rPr>
      </w:pPr>
    </w:p>
    <w:p>
      <w:pPr>
        <w:ind w:right="40" w:firstLine="815"/>
        <w:spacing w:after="0" w:line="257" w:lineRule="auto"/>
        <w:rPr>
          <w:sz w:val="20"/>
          <w:szCs w:val="20"/>
          <w:color w:val="auto"/>
        </w:rPr>
      </w:pPr>
      <w:r>
        <w:rPr>
          <w:rFonts w:ascii="Arial" w:cs="Arial" w:eastAsia="Arial" w:hAnsi="Arial"/>
          <w:sz w:val="18"/>
          <w:szCs w:val="18"/>
          <w:color w:val="auto"/>
        </w:rPr>
        <w:t>As set forth in more detail in the term sheet attached to this letter (collectively, the term sheet and this letter are referred to as this “Letter”) we agree to invest up to $10,000,000 in the Company, with such commitment remaining available to the Company, at its option, for a period of one year from the date of this Letter (the “Commitment Period”). In exchange, the definitive agreement will provide that the Company will issue to us on each funding date (the “Company Option”) Common Stock at a per share purchase price equal to $1.60 (the “Per Share Price”), which is equal to the closing price of the Common Stock for the trading day prior to the date of this Letter.</w:t>
      </w:r>
    </w:p>
    <w:p>
      <w:pPr>
        <w:spacing w:after="0" w:line="202" w:lineRule="exact"/>
        <w:rPr>
          <w:sz w:val="20"/>
          <w:szCs w:val="20"/>
          <w:color w:val="auto"/>
        </w:rPr>
      </w:pPr>
    </w:p>
    <w:p>
      <w:pPr>
        <w:ind w:right="40" w:firstLine="815"/>
        <w:spacing w:after="0" w:line="288" w:lineRule="auto"/>
        <w:rPr>
          <w:sz w:val="20"/>
          <w:szCs w:val="20"/>
          <w:color w:val="auto"/>
        </w:rPr>
      </w:pPr>
      <w:r>
        <w:rPr>
          <w:rFonts w:ascii="Arial" w:cs="Arial" w:eastAsia="Arial" w:hAnsi="Arial"/>
          <w:sz w:val="16"/>
          <w:szCs w:val="16"/>
          <w:color w:val="auto"/>
        </w:rPr>
        <w:t>In consideration for our binding commitment, upon the execution of this Letter, the Company will issue us warrants to acquire 365,472 shares of Common Stock, exercisable at an initial exercise price of $1.84 per share of Common Stock, subject to customary proportional adjustments for stock splits, stock dividends, combinations and similar transactions. The warrants shall be exercisable for a period of seven years commencing on the date of this Letter. We shall also have the option, during the Commitment Period, to invest in the Company by purchasing up to $10,000,000 of shares of Common Stock at the Per Share Price (the “MacAndrews Option”). Notwithstanding anything to the contrary in this Letter, the total value of Common Stock that may be purchased pursuant to the Company Option and the MacAndrews Option shall not exceed $10,000,000 in the aggregate. The Company Option may be exercised by you, and the MacAndrews Option may be exercised by us, in each case, by the exercising party delivering a notice (a “Funding Notice”) to the other party, which notice shall specify the aggregate value and number of shares of Common Stock to be purchased by us. Funding Notices from the Company shall be made in writing by the Chief Executive Officer or Chief Financial Officer of the Company. MacAndrews shall be limited to three Funding Notices during the Commitment Period; the number of Funding Notices from the Company shall not be limited.</w:t>
      </w:r>
    </w:p>
    <w:p>
      <w:pPr>
        <w:spacing w:after="0" w:line="183" w:lineRule="exact"/>
        <w:rPr>
          <w:sz w:val="20"/>
          <w:szCs w:val="20"/>
          <w:color w:val="auto"/>
        </w:rPr>
      </w:pPr>
    </w:p>
    <w:p>
      <w:pPr>
        <w:ind w:right="200" w:firstLine="815"/>
        <w:spacing w:after="0" w:line="277" w:lineRule="auto"/>
        <w:rPr>
          <w:sz w:val="20"/>
          <w:szCs w:val="20"/>
          <w:color w:val="auto"/>
        </w:rPr>
      </w:pPr>
      <w:r>
        <w:rPr>
          <w:rFonts w:ascii="Arial" w:cs="Arial" w:eastAsia="Arial" w:hAnsi="Arial"/>
          <w:sz w:val="18"/>
          <w:szCs w:val="18"/>
          <w:color w:val="auto"/>
        </w:rPr>
        <w:t>The Company would use the proceeds of any such investment to fund research and development, to pursue growth opportunities and for general corporate purposes.</w:t>
      </w:r>
    </w:p>
    <w:p>
      <w:pPr>
        <w:spacing w:after="0" w:line="184" w:lineRule="exact"/>
        <w:rPr>
          <w:sz w:val="20"/>
          <w:szCs w:val="20"/>
          <w:color w:val="auto"/>
        </w:rPr>
      </w:pPr>
    </w:p>
    <w:p>
      <w:pPr>
        <w:ind w:right="60" w:firstLine="815"/>
        <w:spacing w:after="0" w:line="264" w:lineRule="auto"/>
        <w:rPr>
          <w:sz w:val="20"/>
          <w:szCs w:val="20"/>
          <w:color w:val="auto"/>
        </w:rPr>
      </w:pPr>
      <w:r>
        <w:rPr>
          <w:rFonts w:ascii="Arial" w:cs="Arial" w:eastAsia="Arial" w:hAnsi="Arial"/>
          <w:sz w:val="18"/>
          <w:szCs w:val="18"/>
          <w:color w:val="auto"/>
        </w:rPr>
        <w:t>Our obligation to fund the purchase price and the Company’s obligation to issue shares of Common Stock on the terms set forth in this Letter with respect to each investment contemplated by this Letter are subject to the negotiation and execution of a mutually acceptable securities purchase agreement with respect to each such investment.</w:t>
      </w:r>
    </w:p>
    <w:p>
      <w:pPr>
        <w:spacing w:after="0" w:line="195" w:lineRule="exact"/>
        <w:rPr>
          <w:sz w:val="20"/>
          <w:szCs w:val="20"/>
          <w:color w:val="auto"/>
        </w:rPr>
      </w:pPr>
    </w:p>
    <w:p>
      <w:pPr>
        <w:ind w:right="80" w:firstLine="815"/>
        <w:spacing w:after="0" w:line="257" w:lineRule="auto"/>
        <w:rPr>
          <w:sz w:val="20"/>
          <w:szCs w:val="20"/>
          <w:color w:val="auto"/>
        </w:rPr>
      </w:pPr>
      <w:r>
        <w:rPr>
          <w:rFonts w:ascii="Arial" w:cs="Arial" w:eastAsia="Arial" w:hAnsi="Arial"/>
          <w:sz w:val="18"/>
          <w:szCs w:val="18"/>
          <w:color w:val="auto"/>
        </w:rPr>
        <w:t>This Letter shall, upon execution, be binding on the parties hereto. All obligations under this Letter shall remain in full force and effect until the one-year anniversary of this Letter. The completion of the transactions contemplated by this Letter are subject, among other things, to the negotiation and execution of a definitive agreement acceptable to each of us. The parties hereto agree that, upon delivery of a Funding Notice in accordance with the terms of this Letter by either party, the parties shall, as promptly as practicable, (i) enter into a securities purchase agreement with respect to the investment contemplated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4" w:name="page125"/>
    <w:bookmarkEnd w:id="124"/>
    <w:p>
      <w:pPr>
        <w:spacing w:after="0" w:line="259" w:lineRule="auto"/>
        <w:rPr>
          <w:sz w:val="20"/>
          <w:szCs w:val="20"/>
          <w:color w:val="auto"/>
        </w:rPr>
      </w:pPr>
      <w:r>
        <w:rPr>
          <w:rFonts w:ascii="Arial" w:cs="Arial" w:eastAsia="Arial" w:hAnsi="Arial"/>
          <w:sz w:val="18"/>
          <w:szCs w:val="18"/>
          <w:color w:val="auto"/>
        </w:rPr>
        <w:t>Funding Notice, (ii) take all actions and further steps as may be reasonably necessary to complete such investment, and (iii) complete such investment. Notwithstanding anything to the contrary in this Letter, failure by either party to comply with the foregoing sentence shall constitute a material breach under this Letter, entitling the non-breaching party to specific performance (it being understood that money damages would not be an adequate remedy for any such breach).</w:t>
      </w:r>
    </w:p>
    <w:p>
      <w:pPr>
        <w:spacing w:after="0" w:line="200" w:lineRule="exact"/>
        <w:rPr>
          <w:sz w:val="20"/>
          <w:szCs w:val="20"/>
          <w:color w:val="auto"/>
        </w:rPr>
      </w:pPr>
    </w:p>
    <w:p>
      <w:pPr>
        <w:ind w:right="160" w:firstLine="815"/>
        <w:spacing w:after="0" w:line="257" w:lineRule="auto"/>
        <w:rPr>
          <w:sz w:val="20"/>
          <w:szCs w:val="20"/>
          <w:color w:val="auto"/>
        </w:rPr>
      </w:pPr>
      <w:r>
        <w:rPr>
          <w:rFonts w:ascii="Arial" w:cs="Arial" w:eastAsia="Arial" w:hAnsi="Arial"/>
          <w:sz w:val="18"/>
          <w:szCs w:val="18"/>
          <w:color w:val="auto"/>
        </w:rPr>
        <w:t>Neither this Letter nor any of the provisions hereof may be amended, modified, changed or waived except by an instrument in writing signed by the parties hereto. This Letter shall be governed by and construed in accordance with the laws of the State of New York. This Letter contains the full and entire understanding and agreement between the parties with regard to the subject matters hereof and supersedes all prior understandings and agreements relating to the matters set forth herein. This Letter may be executed in counterparts, each of which shall be deemed to constitute an original but all of which together shall constitute one and the same instrument.</w:t>
      </w:r>
    </w:p>
    <w:p>
      <w:pPr>
        <w:spacing w:after="0" w:line="202" w:lineRule="exact"/>
        <w:rPr>
          <w:sz w:val="20"/>
          <w:szCs w:val="20"/>
          <w:color w:val="auto"/>
        </w:rPr>
      </w:pPr>
    </w:p>
    <w:p>
      <w:pPr>
        <w:ind w:right="20" w:firstLine="815"/>
        <w:spacing w:after="0" w:line="293" w:lineRule="auto"/>
        <w:rPr>
          <w:sz w:val="20"/>
          <w:szCs w:val="20"/>
          <w:color w:val="auto"/>
        </w:rPr>
      </w:pPr>
      <w:r>
        <w:rPr>
          <w:rFonts w:ascii="Arial" w:cs="Arial" w:eastAsia="Arial" w:hAnsi="Arial"/>
          <w:sz w:val="18"/>
          <w:szCs w:val="18"/>
          <w:color w:val="auto"/>
        </w:rPr>
        <w:t>We continue to be excited about the Company and its prospects. We look forward to implementing a transaction that would be in the best interests of the Company’s stockholders, officers and other employees,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125" w:name="page126"/>
    <w:bookmarkEnd w:id="125"/>
    <w:p>
      <w:pPr>
        <w:ind w:left="108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AGREED AND ACCEPTED:</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color w:val="auto"/>
        </w:rPr>
        <w:t>VTV THERAPEUTICS INC.</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/s/ Rudy C. Howard</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8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MACANDREWS &amp; FORBES GROUP LLC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/s/ Shiri Ben-Yishai</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0" w:type="dxa"/>
            <w:vAlign w:val="bottom"/>
            <w:vMerge w:val="continue"/>
          </w:tcPr>
          <w:p>
            <w:pPr>
              <w:spacing w:after="0"/>
              <w:rPr>
                <w:sz w:val="16"/>
                <w:szCs w:val="16"/>
                <w:color w:val="auto"/>
              </w:rPr>
            </w:pPr>
          </w:p>
        </w:tc>
        <w:tc>
          <w:tcPr>
            <w:tcW w:w="2900" w:type="dxa"/>
            <w:vAlign w:val="bottom"/>
            <w:gridSpan w:val="2"/>
          </w:tcPr>
          <w:p>
            <w:pPr>
              <w:ind w:left="200"/>
              <w:spacing w:after="0" w:line="195" w:lineRule="exact"/>
              <w:rPr>
                <w:sz w:val="20"/>
                <w:szCs w:val="20"/>
                <w:color w:val="auto"/>
              </w:rPr>
            </w:pPr>
            <w:r>
              <w:rPr>
                <w:rFonts w:ascii="Arial" w:cs="Arial" w:eastAsia="Arial" w:hAnsi="Arial"/>
                <w:sz w:val="18"/>
                <w:szCs w:val="18"/>
                <w:color w:val="auto"/>
              </w:rPr>
              <w:t>Shiri Ben-Yishai</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Commitment Letter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156845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3580" w:space="660"/>
            <w:col w:w="6059"/>
          </w:cols>
          <w:pgMar w:left="160" w:top="557"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SUMMARY OF TERMS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$10,000,000 INVESTMENT</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VTV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23, 2019</w:t>
      </w:r>
    </w:p>
    <w:p>
      <w:pPr>
        <w:spacing w:after="0" w:line="224" w:lineRule="exact"/>
        <w:rPr>
          <w:sz w:val="20"/>
          <w:szCs w:val="20"/>
          <w:color w:val="auto"/>
        </w:rPr>
      </w:pPr>
    </w:p>
    <w:p>
      <w:pPr>
        <w:ind w:firstLine="815"/>
        <w:spacing w:after="0" w:line="277" w:lineRule="auto"/>
        <w:rPr>
          <w:sz w:val="20"/>
          <w:szCs w:val="20"/>
          <w:color w:val="auto"/>
        </w:rPr>
      </w:pPr>
      <w:r>
        <w:rPr>
          <w:rFonts w:ascii="Arial" w:cs="Arial" w:eastAsia="Arial" w:hAnsi="Arial"/>
          <w:sz w:val="18"/>
          <w:szCs w:val="18"/>
          <w:color w:val="auto"/>
        </w:rPr>
        <w:t>This term sheet (“Term Sheet”) summarizes the principal terms of an investment by MacAndrews &amp; Forbes Group LLC or one of its affiliates (collectively, “MacAndrews”) of up to $10,000,000 in vTv Therapeutics Inc. (the “Company”).</w:t>
      </w:r>
    </w:p>
    <w:p>
      <w:pPr>
        <w:spacing w:after="0" w:line="184"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Company Option:</w:t>
      </w:r>
      <w:r>
        <w:rPr>
          <w:sz w:val="20"/>
          <w:szCs w:val="20"/>
          <w:color w:val="auto"/>
        </w:rPr>
        <w:tab/>
      </w:r>
      <w:r>
        <w:rPr>
          <w:rFonts w:ascii="Arial" w:cs="Arial" w:eastAsia="Arial" w:hAnsi="Arial"/>
          <w:sz w:val="16"/>
          <w:szCs w:val="16"/>
          <w:color w:val="auto"/>
        </w:rPr>
        <w:t>MacAndrews commits to invest up to an aggregate of $10,000,000 in the Company, at the Company’s option (the “Company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Option”), during the one-year period (the “Commitment Period”) following execution of this Letter.</w:t>
      </w:r>
    </w:p>
    <w:p>
      <w:pPr>
        <w:spacing w:after="0" w:line="224"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MacAndrews Option:</w:t>
      </w:r>
      <w:r>
        <w:rPr>
          <w:sz w:val="20"/>
          <w:szCs w:val="20"/>
          <w:color w:val="auto"/>
        </w:rPr>
        <w:tab/>
      </w:r>
      <w:r>
        <w:rPr>
          <w:rFonts w:ascii="Arial" w:cs="Arial" w:eastAsia="Arial" w:hAnsi="Arial"/>
          <w:sz w:val="17"/>
          <w:szCs w:val="17"/>
          <w:color w:val="auto"/>
        </w:rPr>
        <w:t>At any time during the Commitment Period, MacAndrews may, at MacAndrews’ option (the “MacAndrews Option”), elect to</w:t>
      </w:r>
    </w:p>
    <w:p>
      <w:pPr>
        <w:spacing w:after="0" w:line="23" w:lineRule="exact"/>
        <w:rPr>
          <w:sz w:val="20"/>
          <w:szCs w:val="20"/>
          <w:color w:val="auto"/>
        </w:rPr>
      </w:pPr>
    </w:p>
    <w:p>
      <w:pPr>
        <w:ind w:left="2220" w:right="20"/>
        <w:spacing w:after="0" w:line="290" w:lineRule="auto"/>
        <w:rPr>
          <w:sz w:val="20"/>
          <w:szCs w:val="20"/>
          <w:color w:val="auto"/>
        </w:rPr>
      </w:pPr>
      <w:r>
        <w:rPr>
          <w:rFonts w:ascii="Arial" w:cs="Arial" w:eastAsia="Arial" w:hAnsi="Arial"/>
          <w:sz w:val="17"/>
          <w:szCs w:val="17"/>
          <w:color w:val="auto"/>
        </w:rPr>
        <w:t>invest up to $10,000,000 in the Company on the same terms as the Company Option; provided that in no event will the aggregate amount of the investments pursuant to the Company Option and the MacAndrews Option exceed $10,000,000.</w:t>
      </w:r>
    </w:p>
    <w:p>
      <w:pPr>
        <w:sectPr>
          <w:pgSz w:w="11900" w:h="16838" w:orient="portrait"/>
          <w:cols w:equalWidth="0" w:num="1">
            <w:col w:w="11420"/>
          </w:cols>
          <w:pgMar w:left="240" w:top="337" w:right="239" w:bottom="1440" w:gutter="0" w:footer="0" w:header="0"/>
        </w:sectPr>
      </w:pP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to be Issued; Terms of Investments: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exercise of the Company Option or the MacAndrews Option (an “Investment”), subject to the terms and conditions of the Purchase Agreement (defined below), the Company will issue to Investor on each funding date: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number of shares (the “Shares”) of Class A common stock, par value $0.01 per share (“Common Stock”), of the Company with a value equal to the Investment, at a per share price (“Per Share Price”) equal to $1.60, which is equal to the closing price of the Common Stock on the day prior to the date of this Letter.</w:t>
      </w:r>
    </w:p>
    <w:p>
      <w:pPr>
        <w:spacing w:after="0" w:line="195" w:lineRule="exact"/>
        <w:rPr>
          <w:sz w:val="20"/>
          <w:szCs w:val="20"/>
          <w:color w:val="auto"/>
        </w:rPr>
      </w:pPr>
    </w:p>
    <w:p>
      <w:pPr>
        <w:sectPr>
          <w:pgSz w:w="11900" w:h="16838" w:orient="portrait"/>
          <w:cols w:equalWidth="0" w:num="2">
            <w:col w:w="2160" w:space="120"/>
            <w:col w:w="914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ind w:left="1160"/>
              <w:spacing w:after="0"/>
              <w:rPr>
                <w:sz w:val="20"/>
                <w:szCs w:val="20"/>
                <w:color w:val="auto"/>
              </w:rPr>
            </w:pPr>
            <w:r>
              <w:rPr>
                <w:rFonts w:ascii="Arial" w:cs="Arial" w:eastAsia="Arial" w:hAnsi="Arial"/>
                <w:sz w:val="18"/>
                <w:szCs w:val="18"/>
                <w:color w:val="auto"/>
              </w:rPr>
              <w:t>Use of Proceeds:</w:t>
            </w:r>
          </w:p>
        </w:tc>
        <w:tc>
          <w:tcPr>
            <w:tcW w:w="8600" w:type="dxa"/>
            <w:vAlign w:val="bottom"/>
          </w:tcPr>
          <w:p>
            <w:pPr>
              <w:ind w:left="80"/>
              <w:spacing w:after="0"/>
              <w:rPr>
                <w:sz w:val="20"/>
                <w:szCs w:val="20"/>
                <w:color w:val="auto"/>
              </w:rPr>
            </w:pPr>
            <w:r>
              <w:rPr>
                <w:rFonts w:ascii="Arial" w:cs="Arial" w:eastAsia="Arial" w:hAnsi="Arial"/>
                <w:sz w:val="18"/>
                <w:szCs w:val="18"/>
                <w:color w:val="auto"/>
              </w:rPr>
              <w:t>To fund research and development, to pursue growth opportunities and for general corporate</w:t>
            </w:r>
          </w:p>
        </w:tc>
      </w:tr>
      <w:tr>
        <w:trPr>
          <w:trHeight w:val="230"/>
        </w:trPr>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0" w:type="dxa"/>
            <w:vAlign w:val="bottom"/>
          </w:tcPr>
          <w:p>
            <w:pPr>
              <w:ind w:left="80"/>
              <w:spacing w:after="0"/>
              <w:rPr>
                <w:sz w:val="20"/>
                <w:szCs w:val="20"/>
                <w:color w:val="auto"/>
              </w:rPr>
            </w:pPr>
            <w:r>
              <w:rPr>
                <w:rFonts w:ascii="Arial" w:cs="Arial" w:eastAsia="Arial" w:hAnsi="Arial"/>
                <w:sz w:val="18"/>
                <w:szCs w:val="18"/>
                <w:color w:val="auto"/>
              </w:rPr>
              <w:t>purposes.</w:t>
            </w:r>
          </w:p>
        </w:tc>
      </w:tr>
      <w:tr>
        <w:trPr>
          <w:trHeight w:val="431"/>
        </w:trPr>
        <w:tc>
          <w:tcPr>
            <w:tcW w:w="2060" w:type="dxa"/>
            <w:vAlign w:val="bottom"/>
          </w:tcPr>
          <w:p>
            <w:pPr>
              <w:spacing w:after="0"/>
              <w:rPr>
                <w:sz w:val="20"/>
                <w:szCs w:val="20"/>
                <w:color w:val="auto"/>
              </w:rPr>
            </w:pPr>
            <w:r>
              <w:rPr>
                <w:rFonts w:ascii="Arial" w:cs="Arial" w:eastAsia="Arial" w:hAnsi="Arial"/>
                <w:sz w:val="18"/>
                <w:szCs w:val="18"/>
                <w:color w:val="auto"/>
              </w:rPr>
              <w:t>Commitment Fee:</w:t>
            </w: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3"/>
              </w:rPr>
              <w:t>As consideration for the investment commitment and the other covenants and obligations of MacAndrews under this Letter,</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6"/>
              </w:rPr>
              <w:t>upon the execution of this Letter, the Company will issue to MacAndrews warrants (the “Commitment Fee Warrants”) to</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1"/>
              </w:rPr>
              <w:t>purchase 365,472 shares of Common Stock, at an exercise price per share of $1.84, payable in cash or by cashless exercise.</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2"/>
              </w:rPr>
              <w:t>The Commitment Fee Warrants shall be exercisable for seven years commencing on the date of execution of this Letter. The</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3"/>
              </w:rPr>
              <w:t>Commitment Fee Warrants do not reduce the total amount to be invested under the Company Option and the MacAndrews</w:t>
            </w:r>
          </w:p>
        </w:tc>
      </w:tr>
      <w:tr>
        <w:trPr>
          <w:trHeight w:val="230"/>
        </w:trPr>
        <w:tc>
          <w:tcPr>
            <w:tcW w:w="206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w w:val="99"/>
              </w:rPr>
              <w:t>Option.</w:t>
            </w:r>
          </w:p>
        </w:tc>
        <w:tc>
          <w:tcPr>
            <w:tcW w:w="8600" w:type="dxa"/>
            <w:vAlign w:val="bottom"/>
          </w:tcPr>
          <w:p>
            <w:pPr>
              <w:spacing w:after="0"/>
              <w:rPr>
                <w:sz w:val="20"/>
                <w:szCs w:val="20"/>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Funding Notices; Binding</w:t>
            </w: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2"/>
              </w:rPr>
              <w:t>The Company Option may be exercised by the Company, and the MacAndrews Option may be exercised by MacAndrews, in</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Commitment:</w:t>
            </w: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1"/>
              </w:rPr>
              <w:t>each case, by the exercising party delivering a written notice (a “Funding Notice”) to the other party, which notice shall specify</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4"/>
              </w:rPr>
              <w:t>the aggregate value and number of shares of Common Stock to be purchased by MacAndrews.  Funding Notices from the</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5"/>
              </w:rPr>
              <w:t>Company shall be made in writing by the Chief Executive Officer or Chief Financial Officer of the Company. MacAndrews</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w w:val="93"/>
              </w:rPr>
              <w:t>shall be limited to three Funding Notices during the Commitment Period; the number of Funding Notices from the Company</w:t>
            </w:r>
          </w:p>
        </w:tc>
      </w:tr>
      <w:tr>
        <w:trPr>
          <w:trHeight w:val="230"/>
        </w:trPr>
        <w:tc>
          <w:tcPr>
            <w:tcW w:w="2060" w:type="dxa"/>
            <w:vAlign w:val="bottom"/>
          </w:tcPr>
          <w:p>
            <w:pPr>
              <w:spacing w:after="0"/>
              <w:rPr>
                <w:sz w:val="20"/>
                <w:szCs w:val="20"/>
                <w:color w:val="auto"/>
              </w:rPr>
            </w:pP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rPr>
              <w:t>shall not be limited.</w:t>
            </w:r>
          </w:p>
        </w:tc>
      </w:tr>
    </w:tbl>
    <w:p>
      <w:pPr>
        <w:spacing w:after="0" w:line="202" w:lineRule="exact"/>
        <w:rPr>
          <w:sz w:val="20"/>
          <w:szCs w:val="20"/>
          <w:color w:val="auto"/>
        </w:rPr>
      </w:pPr>
    </w:p>
    <w:p>
      <w:pPr>
        <w:jc w:val="both"/>
        <w:ind w:left="2220"/>
        <w:spacing w:after="0" w:line="291" w:lineRule="auto"/>
        <w:rPr>
          <w:sz w:val="20"/>
          <w:szCs w:val="20"/>
          <w:color w:val="auto"/>
        </w:rPr>
      </w:pPr>
      <w:r>
        <w:rPr>
          <w:rFonts w:ascii="Arial" w:cs="Arial" w:eastAsia="Arial" w:hAnsi="Arial"/>
          <w:sz w:val="16"/>
          <w:szCs w:val="16"/>
          <w:color w:val="auto"/>
        </w:rPr>
        <w:t>Upon delivery of a Funding Notice in accordance with the terms of this Letter by either party, the parties shall, as promptly as practicable, (i) enter into a securities purchase agreement with respect to the Investment contemplated by the Funding Notice,</w:t>
      </w:r>
    </w:p>
    <w:p>
      <w:pPr>
        <w:jc w:val="both"/>
        <w:ind w:left="2220" w:firstLine="3"/>
        <w:spacing w:after="0" w:line="273" w:lineRule="auto"/>
        <w:tabs>
          <w:tab w:leader="none" w:pos="2509" w:val="left"/>
        </w:tabs>
        <w:numPr>
          <w:ilvl w:val="0"/>
          <w:numId w:val="75"/>
        </w:numPr>
        <w:rPr>
          <w:rFonts w:ascii="Arial" w:cs="Arial" w:eastAsia="Arial" w:hAnsi="Arial"/>
          <w:sz w:val="17"/>
          <w:szCs w:val="17"/>
          <w:color w:val="auto"/>
        </w:rPr>
      </w:pPr>
      <w:r>
        <w:rPr>
          <w:rFonts w:ascii="Arial" w:cs="Arial" w:eastAsia="Arial" w:hAnsi="Arial"/>
          <w:sz w:val="17"/>
          <w:szCs w:val="17"/>
          <w:color w:val="auto"/>
        </w:rPr>
        <w:t>take all actions and further steps as may be reasonably necessary to complete such Investment, and (ii) complete such Investment. Notwithstanding anything to the contrary in this Letter, failure by either party to comply with the foregoing sentence shall constitute a material breach of this Letter, entitling the non-breaching party to specific performance (it being understood that money damages would not be an adequate remedy for any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27" w:name="page128"/>
    <w:bookmarkEnd w:id="127"/>
    <w:p>
      <w:pPr>
        <w:ind w:right="80"/>
        <w:spacing w:after="0" w:line="381" w:lineRule="auto"/>
        <w:rPr>
          <w:sz w:val="20"/>
          <w:szCs w:val="20"/>
          <w:color w:val="auto"/>
        </w:rPr>
      </w:pPr>
      <w:r>
        <w:rPr>
          <w:rFonts w:ascii="Arial" w:cs="Arial" w:eastAsia="Arial" w:hAnsi="Arial"/>
          <w:sz w:val="15"/>
          <w:szCs w:val="15"/>
          <w:color w:val="auto"/>
        </w:rPr>
        <w:t>Securities Purchase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MacAndrews’ obligation to fund the purchase price and the Company’s obligation to issue shares of Common Stock on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terms set forth in this Letter with respect to each Investment contemplated by this Letter are subject to the negotiation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execution of a mutually acceptable securities purchase agreement (the “Purchase Agreement”) with respect to each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The issuance of the Shares will be made pursuant to Regulation D under the Securities Act of 1933, as amended,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MacAndrews agrees that it is an “accredited investor” (as such term is defined in Rule 501 of Regulation D promulgated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of 1933, as amended).</w:t>
      </w:r>
    </w:p>
    <w:p>
      <w:pPr>
        <w:spacing w:after="0" w:line="200" w:lineRule="exact"/>
        <w:rPr>
          <w:sz w:val="20"/>
          <w:szCs w:val="20"/>
          <w:color w:val="auto"/>
        </w:rPr>
      </w:pPr>
    </w:p>
    <w:p>
      <w:pPr>
        <w:sectPr>
          <w:pgSz w:w="11900" w:h="16838" w:orient="portrait"/>
          <w:cols w:equalWidth="0" w:num="2">
            <w:col w:w="1500" w:space="720"/>
            <w:col w:w="9200"/>
          </w:cols>
          <w:pgMar w:left="240" w:top="341" w:right="23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Expenses: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Counsel to the Company will prepare initial drafts of all documents. The Company shall pay all reasonable fees and expenses of MacAndrews’ counsel, if necessary.</w:t>
      </w:r>
    </w:p>
    <w:p>
      <w:pPr>
        <w:spacing w:after="0" w:line="200" w:lineRule="exact"/>
        <w:rPr>
          <w:sz w:val="20"/>
          <w:szCs w:val="20"/>
          <w:color w:val="auto"/>
        </w:rPr>
      </w:pPr>
    </w:p>
    <w:p>
      <w:pPr>
        <w:sectPr>
          <w:pgSz w:w="11900" w:h="16838" w:orient="portrait"/>
          <w:cols w:equalWidth="0" w:num="2">
            <w:col w:w="1460" w:space="720"/>
            <w:col w:w="9240"/>
          </w:cols>
          <w:pgMar w:left="240" w:top="341"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and shares of Common Stock issuable upon exercise of the Commitment Fee Warrants and any other securities acquired in connection with any Investment shall be covered by the Investor Rights Agreement by and between the Company and M&amp;F TTP Holdings Two LLC, as successor in interest to vTv Therapeutics Holdings LLC, dated July 29, 2015, as amended from time to time.</w:t>
      </w:r>
    </w:p>
    <w:p>
      <w:pPr>
        <w:spacing w:after="0" w:line="200" w:lineRule="exact"/>
        <w:rPr>
          <w:sz w:val="20"/>
          <w:szCs w:val="20"/>
          <w:color w:val="auto"/>
        </w:rPr>
      </w:pPr>
    </w:p>
    <w:p>
      <w:pPr>
        <w:sectPr>
          <w:pgSz w:w="11900" w:h="16838" w:orient="portrait"/>
          <w:cols w:equalWidth="0" w:num="2">
            <w:col w:w="1560" w:space="720"/>
            <w:col w:w="9140"/>
          </w:cols>
          <w:pgMar w:left="240" w:top="341"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Representations 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Purchase Agreement will include standard representations and warranties by the Company.</w:t>
      </w:r>
    </w:p>
    <w:p>
      <w:pPr>
        <w:spacing w:after="0" w:line="453" w:lineRule="exact"/>
        <w:rPr>
          <w:sz w:val="20"/>
          <w:szCs w:val="20"/>
          <w:color w:val="auto"/>
        </w:rPr>
      </w:pPr>
    </w:p>
    <w:p>
      <w:pPr>
        <w:sectPr>
          <w:pgSz w:w="11900" w:h="16838" w:orient="portrait"/>
          <w:cols w:equalWidth="0" w:num="2">
            <w:col w:w="1500" w:space="720"/>
            <w:col w:w="9200"/>
          </w:cols>
          <w:pgMar w:left="240" w:top="341"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Conditions to Closing: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Purchase Agreement will include standard conditions to closing of each tranche, including, without limitation, (i) the Company being in compliance with all applicable Nasdaq Marketplace Rules (both before and after giving effect to the applicable closing), except for non-compliance as previously disclosed by the Company (ii) the Common Stock remaining listed for trading on a Nasdaq exchange and (iii) the Shares to be then issued having been listed for trading on a Nasdaq exchange.</w:t>
      </w:r>
    </w:p>
    <w:p>
      <w:pPr>
        <w:sectPr>
          <w:pgSz w:w="11900" w:h="16838" w:orient="portrait"/>
          <w:cols w:equalWidth="0" w:num="2">
            <w:col w:w="1640" w:space="560"/>
            <w:col w:w="9220"/>
          </w:cols>
          <w:pgMar w:left="240" w:top="341" w:right="23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10.26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PURCHASE AGREEMENT</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This SECURITIES PURCHASE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and entered into as of [_____], by and</w:t>
      </w:r>
    </w:p>
    <w:p>
      <w:pPr>
        <w:spacing w:after="0" w:line="20" w:lineRule="exact"/>
        <w:rPr>
          <w:sz w:val="20"/>
          <w:szCs w:val="20"/>
          <w:color w:val="auto"/>
        </w:rPr>
      </w:pPr>
    </w:p>
    <w:p>
      <w:pPr>
        <w:ind w:right="460"/>
        <w:spacing w:after="0" w:line="237" w:lineRule="auto"/>
        <w:rPr>
          <w:sz w:val="20"/>
          <w:szCs w:val="20"/>
          <w:color w:val="auto"/>
        </w:rPr>
      </w:pPr>
      <w:r>
        <w:rPr>
          <w:rFonts w:ascii="Arial" w:cs="Arial" w:eastAsia="Arial" w:hAnsi="Arial"/>
          <w:sz w:val="22"/>
          <w:szCs w:val="22"/>
          <w:color w:val="auto"/>
        </w:rPr>
        <w:t>between VTV THERAPEUTICS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MACANDREWS &amp; FORBES GROUP LLC, a Delaware limited liability company (the “</w:t>
      </w:r>
      <w:r>
        <w:rPr>
          <w:rFonts w:ascii="Arial" w:cs="Arial" w:eastAsia="Arial" w:hAnsi="Arial"/>
          <w:sz w:val="22"/>
          <w:szCs w:val="22"/>
          <w:u w:val="single" w:color="auto"/>
          <w:color w:val="auto"/>
        </w:rPr>
        <w:t>Purchaser</w:t>
      </w:r>
      <w:r>
        <w:rPr>
          <w:rFonts w:ascii="Arial" w:cs="Arial" w:eastAsia="Arial" w:hAnsi="Arial"/>
          <w:sz w:val="22"/>
          <w:szCs w:val="22"/>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45" w:lineRule="exact"/>
        <w:rPr>
          <w:sz w:val="20"/>
          <w:szCs w:val="20"/>
          <w:color w:val="auto"/>
        </w:rPr>
      </w:pPr>
    </w:p>
    <w:p>
      <w:pPr>
        <w:ind w:right="440" w:firstLine="877"/>
        <w:spacing w:after="0" w:line="251" w:lineRule="auto"/>
        <w:rPr>
          <w:sz w:val="20"/>
          <w:szCs w:val="20"/>
          <w:color w:val="auto"/>
        </w:rPr>
      </w:pPr>
      <w:r>
        <w:rPr>
          <w:rFonts w:ascii="Arial" w:cs="Arial" w:eastAsia="Arial" w:hAnsi="Arial"/>
          <w:sz w:val="22"/>
          <w:szCs w:val="22"/>
          <w:color w:val="auto"/>
        </w:rPr>
        <w:t>WHEREAS, the Company and the Purchaser are parties to that certain December 2018 Letter Agreement dated as of December 11, 2018 (the “</w:t>
      </w:r>
      <w:r>
        <w:rPr>
          <w:rFonts w:ascii="Arial" w:cs="Arial" w:eastAsia="Arial" w:hAnsi="Arial"/>
          <w:sz w:val="22"/>
          <w:szCs w:val="22"/>
          <w:u w:val="single" w:color="auto"/>
          <w:color w:val="auto"/>
        </w:rPr>
        <w:t>December 2018 Letter Agreement</w:t>
      </w:r>
      <w:r>
        <w:rPr>
          <w:rFonts w:ascii="Arial" w:cs="Arial" w:eastAsia="Arial" w:hAnsi="Arial"/>
          <w:sz w:val="22"/>
          <w:szCs w:val="22"/>
          <w:color w:val="auto"/>
        </w:rPr>
        <w:t>”);</w:t>
      </w:r>
    </w:p>
    <w:p>
      <w:pPr>
        <w:spacing w:after="0" w:line="92" w:lineRule="exact"/>
        <w:rPr>
          <w:sz w:val="20"/>
          <w:szCs w:val="20"/>
          <w:color w:val="auto"/>
        </w:rPr>
      </w:pPr>
    </w:p>
    <w:p>
      <w:pPr>
        <w:ind w:right="480" w:firstLine="877"/>
        <w:spacing w:after="0" w:line="297" w:lineRule="auto"/>
        <w:rPr>
          <w:sz w:val="20"/>
          <w:szCs w:val="20"/>
          <w:color w:val="auto"/>
        </w:rPr>
      </w:pPr>
      <w:r>
        <w:rPr>
          <w:rFonts w:ascii="Arial" w:cs="Arial" w:eastAsia="Arial" w:hAnsi="Arial"/>
          <w:sz w:val="19"/>
          <w:szCs w:val="19"/>
          <w:color w:val="auto"/>
        </w:rPr>
        <w:t>WHEREAS, pursuant to the terms of the December 2018 Letter Agreement, the Purchaser provided an investment commitment to invest in the Company, at either party’s option, up to $10,000,000, in exchange for Company Class A common stock, par value $0.01, currently listed on NASDAQ (the “</w:t>
      </w:r>
      <w:r>
        <w:rPr>
          <w:rFonts w:ascii="Arial" w:cs="Arial" w:eastAsia="Arial" w:hAnsi="Arial"/>
          <w:sz w:val="19"/>
          <w:szCs w:val="19"/>
          <w:u w:val="single" w:color="auto"/>
          <w:color w:val="auto"/>
        </w:rPr>
        <w:t>Common Stock</w:t>
      </w:r>
      <w:r>
        <w:rPr>
          <w:rFonts w:ascii="Arial" w:cs="Arial" w:eastAsia="Arial" w:hAnsi="Arial"/>
          <w:sz w:val="19"/>
          <w:szCs w:val="19"/>
          <w:color w:val="auto"/>
        </w:rPr>
        <w:t>”) at a per share price equal to $1.84;</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on [_____] and pursuant to the terms of the December 2018 Letter Agreement, the Company notified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Purchaser that it intended to exercise its right to cause the Purchaser to invest $[_____] in the Company, which amount represents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[_____] shares of Common Stock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21"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NOW, THEREFORE, in consideration of the premises and mutual covenants contained in this Agreement and other good and valuable consideration the receipt and sufficiency of which are hereby acknowledged, the Company and the Purchaser agree as follows:</w:t>
      </w:r>
    </w:p>
    <w:p>
      <w:pPr>
        <w:spacing w:after="0" w:line="99" w:lineRule="exact"/>
        <w:rPr>
          <w:sz w:val="20"/>
          <w:szCs w:val="20"/>
          <w:color w:val="auto"/>
        </w:rPr>
      </w:pPr>
    </w:p>
    <w:p>
      <w:pPr>
        <w:ind w:left="880" w:hanging="440"/>
        <w:spacing w:after="0"/>
        <w:tabs>
          <w:tab w:leader="none" w:pos="88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Purchase and Sale of Securities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760" w:right="160" w:hanging="442"/>
        <w:spacing w:after="0" w:line="238" w:lineRule="auto"/>
        <w:tabs>
          <w:tab w:leader="none" w:pos="1760"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Purchase and Sale of Securities</w:t>
      </w:r>
      <w:r>
        <w:rPr>
          <w:rFonts w:ascii="Arial" w:cs="Arial" w:eastAsia="Arial" w:hAnsi="Arial"/>
          <w:sz w:val="22"/>
          <w:szCs w:val="22"/>
          <w:color w:val="auto"/>
        </w:rPr>
        <w:t>. Subject to the terms and conditions hereof, at the Closing (as herein defined), the Company shall issue and sell to the Purchaser, and the Purchaser shall purchase from the Company, the Shares at a purchase price per Share of $1.84 in cash, for an aggregate amount of $[_____] (the “</w:t>
      </w:r>
      <w:r>
        <w:rPr>
          <w:rFonts w:ascii="Arial" w:cs="Arial" w:eastAsia="Arial" w:hAnsi="Arial"/>
          <w:sz w:val="22"/>
          <w:szCs w:val="22"/>
          <w:u w:val="single" w:color="auto"/>
          <w:color w:val="auto"/>
        </w:rPr>
        <w:t>Purchase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1760" w:right="180" w:hanging="442"/>
        <w:spacing w:after="0" w:line="238" w:lineRule="auto"/>
        <w:tabs>
          <w:tab w:leader="none" w:pos="1760"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Exemption</w:t>
      </w:r>
      <w:r>
        <w:rPr>
          <w:rFonts w:ascii="Arial" w:cs="Arial" w:eastAsia="Arial" w:hAnsi="Arial"/>
          <w:sz w:val="22"/>
          <w:szCs w:val="22"/>
          <w:color w:val="auto"/>
        </w:rPr>
        <w:t>. Based in part on the representations and warranties of the Purchaser set forth herein, the offer and sale of the Shares hereunder are being made in reliance upon the exemption from registration set forth in Regulation D promulgated under the Securities Act of 1933, as amended, and the rules and regulations promulgated thereunder (the “</w:t>
      </w:r>
      <w:r>
        <w:rPr>
          <w:rFonts w:ascii="Arial" w:cs="Arial" w:eastAsia="Arial" w:hAnsi="Arial"/>
          <w:sz w:val="22"/>
          <w:szCs w:val="22"/>
          <w:u w:val="single" w:color="auto"/>
          <w:color w:val="auto"/>
        </w:rPr>
        <w:t>Securities Act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Closings and Deliverables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760" w:right="700" w:hanging="442"/>
        <w:spacing w:after="0" w:line="328" w:lineRule="auto"/>
        <w:tabs>
          <w:tab w:leader="none" w:pos="1760"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At the Closing (as defined herein), the Purchaser will deliver the Purchase Price in cash to the Company via wire transfer in immediately available funds to the account designated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9" w:name="page130"/>
    <w:bookmarkEnd w:id="129"/>
    <w:p>
      <w:pPr>
        <w:ind w:left="1320"/>
        <w:spacing w:after="0"/>
        <w:rPr>
          <w:sz w:val="20"/>
          <w:szCs w:val="20"/>
          <w:color w:val="auto"/>
        </w:rPr>
      </w:pPr>
      <w:r>
        <w:rPr>
          <w:rFonts w:ascii="Arial" w:cs="Arial" w:eastAsia="Arial" w:hAnsi="Arial"/>
          <w:sz w:val="22"/>
          <w:szCs w:val="22"/>
          <w:color w:val="auto"/>
        </w:rPr>
        <w:t>Account Name: [_____]</w:t>
      </w:r>
    </w:p>
    <w:p>
      <w:pPr>
        <w:ind w:left="1320"/>
        <w:spacing w:after="0" w:line="238" w:lineRule="auto"/>
        <w:rPr>
          <w:sz w:val="20"/>
          <w:szCs w:val="20"/>
          <w:color w:val="auto"/>
        </w:rPr>
      </w:pPr>
      <w:r>
        <w:rPr>
          <w:rFonts w:ascii="Arial" w:cs="Arial" w:eastAsia="Arial" w:hAnsi="Arial"/>
          <w:sz w:val="22"/>
          <w:szCs w:val="22"/>
          <w:color w:val="auto"/>
        </w:rPr>
        <w:t>Account Number: [_____]</w:t>
      </w:r>
    </w:p>
    <w:p>
      <w:pPr>
        <w:ind w:left="1320"/>
        <w:spacing w:after="0" w:line="230" w:lineRule="auto"/>
        <w:rPr>
          <w:sz w:val="20"/>
          <w:szCs w:val="20"/>
          <w:color w:val="auto"/>
        </w:rPr>
      </w:pPr>
      <w:r>
        <w:rPr>
          <w:rFonts w:ascii="Arial" w:cs="Arial" w:eastAsia="Arial" w:hAnsi="Arial"/>
          <w:sz w:val="22"/>
          <w:szCs w:val="22"/>
          <w:color w:val="auto"/>
        </w:rPr>
        <w:t>Routing Number: [_____]</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Bank Name: [_____]</w:t>
      </w:r>
    </w:p>
    <w:p>
      <w:pPr>
        <w:spacing w:after="0" w:line="215" w:lineRule="exact"/>
        <w:rPr>
          <w:sz w:val="20"/>
          <w:szCs w:val="20"/>
          <w:color w:val="auto"/>
        </w:rPr>
      </w:pPr>
    </w:p>
    <w:p>
      <w:pPr>
        <w:ind w:left="1320" w:hanging="442"/>
        <w:spacing w:after="0" w:line="328" w:lineRule="auto"/>
        <w:tabs>
          <w:tab w:leader="none" w:pos="1320"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Closing</w:t>
      </w:r>
      <w:r>
        <w:rPr>
          <w:rFonts w:ascii="Arial" w:cs="Arial" w:eastAsia="Arial" w:hAnsi="Arial"/>
          <w:sz w:val="19"/>
          <w:szCs w:val="19"/>
          <w:color w:val="auto"/>
        </w:rPr>
        <w:t>. The closing of the purchase and sale of the Shares shall be deemed for all purposes to have taken place at 11:00 (EST) on the date hereof (the “</w:t>
      </w:r>
      <w:r>
        <w:rPr>
          <w:rFonts w:ascii="Arial" w:cs="Arial" w:eastAsia="Arial" w:hAnsi="Arial"/>
          <w:sz w:val="19"/>
          <w:szCs w:val="19"/>
          <w:u w:val="single" w:color="auto"/>
          <w:color w:val="auto"/>
        </w:rPr>
        <w:t>Closing Date</w:t>
      </w:r>
      <w:r>
        <w:rPr>
          <w:rFonts w:ascii="Arial" w:cs="Arial" w:eastAsia="Arial" w:hAnsi="Arial"/>
          <w:sz w:val="19"/>
          <w:szCs w:val="19"/>
          <w:color w:val="auto"/>
        </w:rPr>
        <w:t>”), at the offices of the Company (the “</w:t>
      </w:r>
      <w:r>
        <w:rPr>
          <w:rFonts w:ascii="Arial" w:cs="Arial" w:eastAsia="Arial" w:hAnsi="Arial"/>
          <w:sz w:val="19"/>
          <w:szCs w:val="19"/>
          <w:u w:val="single" w:color="auto"/>
          <w:color w:val="auto"/>
        </w:rPr>
        <w:t>Closing</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ind w:left="440" w:right="180" w:hanging="440"/>
        <w:spacing w:after="0" w:line="256" w:lineRule="auto"/>
        <w:tabs>
          <w:tab w:leader="none" w:pos="44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by the Company</w:t>
      </w:r>
      <w:r>
        <w:rPr>
          <w:rFonts w:ascii="Arial" w:cs="Arial" w:eastAsia="Arial" w:hAnsi="Arial"/>
          <w:sz w:val="22"/>
          <w:szCs w:val="22"/>
          <w:color w:val="auto"/>
        </w:rPr>
        <w:t>. The Company hereby represents and warrants to the Purchaser,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hereof, as follows:</w:t>
      </w:r>
    </w:p>
    <w:p>
      <w:pPr>
        <w:spacing w:after="0" w:line="195" w:lineRule="exact"/>
        <w:rPr>
          <w:rFonts w:ascii="Arial" w:cs="Arial" w:eastAsia="Arial" w:hAnsi="Arial"/>
          <w:sz w:val="22"/>
          <w:szCs w:val="22"/>
          <w:b w:val="1"/>
          <w:bCs w:val="1"/>
          <w:color w:val="auto"/>
        </w:rPr>
      </w:pPr>
    </w:p>
    <w:p>
      <w:pPr>
        <w:ind w:left="1320" w:right="60" w:hanging="442"/>
        <w:spacing w:after="0" w:line="238" w:lineRule="auto"/>
        <w:tabs>
          <w:tab w:leader="none" w:pos="1320"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Incorporation and Qualification</w:t>
      </w:r>
      <w:r>
        <w:rPr>
          <w:rFonts w:ascii="Arial" w:cs="Arial" w:eastAsia="Arial" w:hAnsi="Arial"/>
          <w:sz w:val="22"/>
          <w:szCs w:val="22"/>
          <w:color w:val="auto"/>
        </w:rPr>
        <w:t>. The Company has been duly organized and is validly existing as a corporation and in good standing under the laws of the State of Delaware with the requisite corporate power and authority to own and use its properties and assets and to carry on its business as currently conducted in all material respects.</w:t>
      </w:r>
    </w:p>
    <w:p>
      <w:pPr>
        <w:spacing w:after="0" w:line="212" w:lineRule="exact"/>
        <w:rPr>
          <w:rFonts w:ascii="Arial" w:cs="Arial" w:eastAsia="Arial" w:hAnsi="Arial"/>
          <w:sz w:val="22"/>
          <w:szCs w:val="22"/>
          <w:color w:val="auto"/>
        </w:rPr>
      </w:pPr>
    </w:p>
    <w:p>
      <w:pPr>
        <w:ind w:left="1320" w:right="140" w:hanging="442"/>
        <w:spacing w:after="0" w:line="246" w:lineRule="auto"/>
        <w:tabs>
          <w:tab w:leader="none" w:pos="1320"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The Company has the requisite corporate power and authority to enter into this Agreement and to issue and deliver the Shares. The execution and delivery of this Agreement has been duly and validly authorized by all necessary corporate action by the Company. This Agreement has been duly and validly executed and delivered by and on behalf of the Company and constitutes a valid, legal and binding agreement, enforceable against the Company in accordance with its terms, except as enforceability may be limited by general equitable principles, bankruptcy, insolvency, fraudulent conveyance, reorganization, moratorium or other laws affecting creditors’ rights generally and except as any indemnity in respect of securities law liabilities may be unenforceable.</w:t>
      </w:r>
    </w:p>
    <w:p>
      <w:pPr>
        <w:spacing w:after="0" w:line="207" w:lineRule="exact"/>
        <w:rPr>
          <w:rFonts w:ascii="Arial" w:cs="Arial" w:eastAsia="Arial" w:hAnsi="Arial"/>
          <w:sz w:val="21"/>
          <w:szCs w:val="21"/>
          <w:color w:val="auto"/>
        </w:rPr>
      </w:pPr>
    </w:p>
    <w:p>
      <w:pPr>
        <w:ind w:left="1320" w:right="280" w:hanging="442"/>
        <w:spacing w:after="0" w:line="287" w:lineRule="auto"/>
        <w:tabs>
          <w:tab w:leader="none" w:pos="1320"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Brokers and Finders</w:t>
      </w:r>
      <w:r>
        <w:rPr>
          <w:rFonts w:ascii="Arial" w:cs="Arial" w:eastAsia="Arial" w:hAnsi="Arial"/>
          <w:sz w:val="19"/>
          <w:szCs w:val="19"/>
          <w:color w:val="auto"/>
        </w:rPr>
        <w:t>. There is no investment banker, broker, finder or other intermediary which has been retained by or is authorized to act on behalf of the Company who might be entitled to any fee or commission from the Company, the Purchaser or any of their respective affiliates upon consummation of the transactions contemplated by this Agreement except as may be noted and disclosed to the Purchaser.</w:t>
      </w:r>
    </w:p>
    <w:p>
      <w:pPr>
        <w:spacing w:after="0" w:line="170" w:lineRule="exact"/>
        <w:rPr>
          <w:rFonts w:ascii="Arial" w:cs="Arial" w:eastAsia="Arial" w:hAnsi="Arial"/>
          <w:sz w:val="19"/>
          <w:szCs w:val="19"/>
          <w:color w:val="auto"/>
        </w:rPr>
      </w:pPr>
    </w:p>
    <w:p>
      <w:pPr>
        <w:ind w:left="1320" w:right="220" w:hanging="442"/>
        <w:spacing w:after="0" w:line="274" w:lineRule="auto"/>
        <w:tabs>
          <w:tab w:leader="none" w:pos="1320"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Nasdaq Compliance</w:t>
      </w:r>
      <w:r>
        <w:rPr>
          <w:rFonts w:ascii="Arial" w:cs="Arial" w:eastAsia="Arial" w:hAnsi="Arial"/>
          <w:sz w:val="21"/>
          <w:szCs w:val="21"/>
          <w:color w:val="auto"/>
        </w:rPr>
        <w:t>. The Company is, and immediately following the issuance of the Shares pursuant to this Agreement will be, in compliance with all applicable NASDAQ Marketplace Rules.</w:t>
      </w:r>
    </w:p>
    <w:p>
      <w:pPr>
        <w:spacing w:after="0" w:line="171" w:lineRule="exact"/>
        <w:rPr>
          <w:rFonts w:ascii="Arial" w:cs="Arial" w:eastAsia="Arial" w:hAnsi="Arial"/>
          <w:sz w:val="21"/>
          <w:szCs w:val="21"/>
          <w:color w:val="auto"/>
        </w:rPr>
      </w:pPr>
    </w:p>
    <w:p>
      <w:pPr>
        <w:ind w:left="440" w:right="280" w:hanging="440"/>
        <w:spacing w:after="0" w:line="256" w:lineRule="auto"/>
        <w:tabs>
          <w:tab w:leader="none" w:pos="44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of the Purchaser</w:t>
      </w:r>
      <w:r>
        <w:rPr>
          <w:rFonts w:ascii="Arial" w:cs="Arial" w:eastAsia="Arial" w:hAnsi="Arial"/>
          <w:sz w:val="22"/>
          <w:szCs w:val="22"/>
          <w:color w:val="auto"/>
        </w:rPr>
        <w:t>. The Purchaser represents and warrants to the Company,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hereof,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322580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91" w:right="239" w:bottom="1440" w:gutter="0" w:footer="0" w:header="0"/>
        </w:sectPr>
      </w:pPr>
    </w:p>
    <w:bookmarkStart w:id="130" w:name="page131"/>
    <w:bookmarkEnd w:id="130"/>
    <w:p>
      <w:pPr>
        <w:ind w:left="560" w:hanging="442"/>
        <w:spacing w:after="0"/>
        <w:tabs>
          <w:tab w:leader="none" w:pos="56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Power</w:t>
      </w:r>
      <w:r>
        <w:rPr>
          <w:rFonts w:ascii="Arial" w:cs="Arial" w:eastAsia="Arial" w:hAnsi="Arial"/>
          <w:sz w:val="22"/>
          <w:szCs w:val="22"/>
          <w:color w:val="auto"/>
        </w:rPr>
        <w:t>. The Purchaser has been duly organized, is validly existing and is in good standing under the laws of its state of incorporation, with all limited liability company power and authority to execute, deliver and perform its obligations under the Agreement.</w:t>
      </w:r>
    </w:p>
    <w:p>
      <w:pPr>
        <w:spacing w:after="0" w:line="213" w:lineRule="exact"/>
        <w:rPr>
          <w:rFonts w:ascii="Arial" w:cs="Arial" w:eastAsia="Arial" w:hAnsi="Arial"/>
          <w:sz w:val="22"/>
          <w:szCs w:val="22"/>
          <w:color w:val="auto"/>
        </w:rPr>
      </w:pPr>
    </w:p>
    <w:p>
      <w:pPr>
        <w:ind w:left="560" w:right="40" w:hanging="442"/>
        <w:spacing w:after="0" w:line="277" w:lineRule="auto"/>
        <w:tabs>
          <w:tab w:leader="none" w:pos="56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Purchaser has the requisite power and authority to enter into this Agreement. The execution and delivery of this Agreement and the acquiring of the Shares hereunder and the consummation of the transactions contemplated hereby have been duly and validly authorized by all necessary action by the Purchaser. This Agreement has been duly and validly executed and delivered by or on behalf of the Purchaser and constitutes a valid, legal and binding agreement, enforceable against the Purchaser in accordance with its terms, except as enforceability may be limited by general equitable principles, bankruptcy, insolvency, fraudulent conveyance, reorganization, moratorium or other laws affecting creditors’ rights generally.</w:t>
      </w:r>
    </w:p>
    <w:p>
      <w:pPr>
        <w:spacing w:after="0" w:line="179" w:lineRule="exact"/>
        <w:rPr>
          <w:rFonts w:ascii="Arial" w:cs="Arial" w:eastAsia="Arial" w:hAnsi="Arial"/>
          <w:sz w:val="19"/>
          <w:szCs w:val="19"/>
          <w:color w:val="auto"/>
        </w:rPr>
      </w:pPr>
    </w:p>
    <w:p>
      <w:pPr>
        <w:ind w:left="560" w:hanging="442"/>
        <w:spacing w:after="0"/>
        <w:tabs>
          <w:tab w:leader="none" w:pos="56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Investment in Securities</w:t>
      </w:r>
      <w:r>
        <w:rPr>
          <w:rFonts w:ascii="Arial" w:cs="Arial" w:eastAsia="Arial" w:hAnsi="Arial"/>
          <w:sz w:val="22"/>
          <w:szCs w:val="22"/>
          <w:color w:val="auto"/>
        </w:rPr>
        <w:t>. The Purchaser:</w:t>
      </w:r>
    </w:p>
    <w:p>
      <w:pPr>
        <w:spacing w:after="0" w:line="233" w:lineRule="exact"/>
        <w:rPr>
          <w:rFonts w:ascii="Arial" w:cs="Arial" w:eastAsia="Arial" w:hAnsi="Arial"/>
          <w:sz w:val="22"/>
          <w:szCs w:val="22"/>
          <w:color w:val="auto"/>
        </w:rPr>
      </w:pPr>
    </w:p>
    <w:p>
      <w:pPr>
        <w:ind w:left="1420" w:right="120" w:hanging="208"/>
        <w:spacing w:after="0" w:line="249" w:lineRule="auto"/>
        <w:tabs>
          <w:tab w:leader="none" w:pos="1420" w:val="left"/>
        </w:tabs>
        <w:numPr>
          <w:ilvl w:val="1"/>
          <w:numId w:val="79"/>
        </w:numPr>
        <w:rPr>
          <w:rFonts w:ascii="Arial" w:cs="Arial" w:eastAsia="Arial" w:hAnsi="Arial"/>
          <w:sz w:val="21"/>
          <w:szCs w:val="21"/>
          <w:color w:val="auto"/>
        </w:rPr>
      </w:pPr>
      <w:r>
        <w:rPr>
          <w:rFonts w:ascii="Arial" w:cs="Arial" w:eastAsia="Arial" w:hAnsi="Arial"/>
          <w:sz w:val="21"/>
          <w:szCs w:val="21"/>
          <w:color w:val="auto"/>
        </w:rPr>
        <w:t>is knowledgeable, sophisticated and experienced in making, and is qualified to make, decisions with respect to investments in shares representing an investment decision like that involved in the acquiring of the Shares, including investments in securities issued by the Company and comparable entities, and has requested, received, reviewed and considered all information it deems relevant in making an informed decision to acquire the Shares;</w:t>
      </w:r>
    </w:p>
    <w:p>
      <w:pPr>
        <w:spacing w:after="0" w:line="205" w:lineRule="exact"/>
        <w:rPr>
          <w:rFonts w:ascii="Arial" w:cs="Arial" w:eastAsia="Arial" w:hAnsi="Arial"/>
          <w:sz w:val="21"/>
          <w:szCs w:val="21"/>
          <w:color w:val="auto"/>
        </w:rPr>
      </w:pPr>
    </w:p>
    <w:p>
      <w:pPr>
        <w:ind w:left="1420" w:right="160" w:hanging="208"/>
        <w:spacing w:after="0" w:line="238" w:lineRule="auto"/>
        <w:tabs>
          <w:tab w:leader="none" w:pos="1420" w:val="left"/>
        </w:tabs>
        <w:numPr>
          <w:ilvl w:val="1"/>
          <w:numId w:val="79"/>
        </w:numPr>
        <w:rPr>
          <w:rFonts w:ascii="Arial" w:cs="Arial" w:eastAsia="Arial" w:hAnsi="Arial"/>
          <w:sz w:val="22"/>
          <w:szCs w:val="22"/>
          <w:color w:val="auto"/>
        </w:rPr>
      </w:pPr>
      <w:r>
        <w:rPr>
          <w:rFonts w:ascii="Arial" w:cs="Arial" w:eastAsia="Arial" w:hAnsi="Arial"/>
          <w:sz w:val="22"/>
          <w:szCs w:val="22"/>
          <w:color w:val="auto"/>
        </w:rPr>
        <w:t>is acquiring the Shares in the ordinary course of its business and for its own account for investment only and with no present intention or view toward the public sale or distribution thereof, and no arrangement or understanding exists with any other persons regarding the public sale or distribution of any Shares; and</w:t>
      </w:r>
    </w:p>
    <w:p>
      <w:pPr>
        <w:spacing w:after="0" w:line="212" w:lineRule="exact"/>
        <w:rPr>
          <w:sz w:val="20"/>
          <w:szCs w:val="20"/>
          <w:color w:val="auto"/>
        </w:rPr>
      </w:pPr>
    </w:p>
    <w:p>
      <w:pPr>
        <w:ind w:left="1420" w:right="60" w:hanging="215"/>
        <w:spacing w:after="0" w:line="252" w:lineRule="auto"/>
        <w:rPr>
          <w:sz w:val="20"/>
          <w:szCs w:val="20"/>
          <w:color w:val="auto"/>
        </w:rPr>
      </w:pPr>
      <w:r>
        <w:rPr>
          <w:rFonts w:ascii="Arial" w:cs="Arial" w:eastAsia="Arial" w:hAnsi="Arial"/>
          <w:sz w:val="20"/>
          <w:szCs w:val="20"/>
          <w:color w:val="auto"/>
        </w:rPr>
        <w:t>iii.</w:t>
      </w:r>
      <w:r>
        <w:rPr>
          <w:rFonts w:ascii="Arial" w:cs="Arial" w:eastAsia="Arial" w:hAnsi="Arial"/>
          <w:sz w:val="21"/>
          <w:szCs w:val="21"/>
          <w:color w:val="auto"/>
        </w:rPr>
        <w:t>will not, directly or indirectly, except in compliance with the Securities Act, the rules and regulations</w:t>
      </w:r>
      <w:r>
        <w:rPr>
          <w:rFonts w:ascii="Arial" w:cs="Arial" w:eastAsia="Arial" w:hAnsi="Arial"/>
          <w:sz w:val="20"/>
          <w:szCs w:val="20"/>
          <w:color w:val="auto"/>
        </w:rPr>
        <w:t xml:space="preserve"> </w:t>
      </w:r>
      <w:r>
        <w:rPr>
          <w:rFonts w:ascii="Arial" w:cs="Arial" w:eastAsia="Arial" w:hAnsi="Arial"/>
          <w:sz w:val="21"/>
          <w:szCs w:val="21"/>
          <w:color w:val="auto"/>
        </w:rPr>
        <w:t>promulgated thereunder and such other securities or blue sky laws as may be applicable, offer, sell, pledge, transfer or otherwise dispose of (or solicit any offers to buy, purchase or otherwise acquire or take a pledge of) any of the Shares.</w:t>
      </w:r>
    </w:p>
    <w:p>
      <w:pPr>
        <w:spacing w:after="0" w:line="201" w:lineRule="exact"/>
        <w:rPr>
          <w:sz w:val="20"/>
          <w:szCs w:val="20"/>
          <w:color w:val="auto"/>
        </w:rPr>
      </w:pPr>
    </w:p>
    <w:p>
      <w:pPr>
        <w:ind w:left="560" w:right="320" w:hanging="442"/>
        <w:spacing w:after="0" w:line="297" w:lineRule="auto"/>
        <w:tabs>
          <w:tab w:leader="none" w:pos="56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Exemptions</w:t>
      </w:r>
      <w:r>
        <w:rPr>
          <w:rFonts w:ascii="Arial" w:cs="Arial" w:eastAsia="Arial" w:hAnsi="Arial"/>
          <w:sz w:val="19"/>
          <w:szCs w:val="19"/>
          <w:color w:val="auto"/>
        </w:rPr>
        <w:t>. The Purchaser understands that the Shares are being issued to it in reliance upon a specific exemption from the registration requirements of Securities Act, the rules and regulations and state securities laws, and that the Company is relying upon the truth and accuracy of, and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300355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91" w:right="239" w:bottom="1440" w:gutter="0" w:footer="0" w:header="0"/>
        </w:sectPr>
      </w:pPr>
    </w:p>
    <w:bookmarkStart w:id="131" w:name="page132"/>
    <w:bookmarkEnd w:id="131"/>
    <w:p>
      <w:pPr>
        <w:ind w:left="560" w:right="460"/>
        <w:spacing w:after="0" w:line="287" w:lineRule="auto"/>
        <w:rPr>
          <w:sz w:val="20"/>
          <w:szCs w:val="20"/>
          <w:color w:val="auto"/>
        </w:rPr>
      </w:pPr>
      <w:r>
        <w:rPr>
          <w:rFonts w:ascii="Arial" w:cs="Arial" w:eastAsia="Arial" w:hAnsi="Arial"/>
          <w:sz w:val="19"/>
          <w:szCs w:val="19"/>
          <w:color w:val="auto"/>
        </w:rPr>
        <w:t>compliance with, the representations, warranties, agreements, acknowledgments and understandings of the Purchaser set forth herein in order to determine the availability of such exemption and the eligibility of the Purchaser to acquire the Shares. The Purchaser agrees that it is an “accredited investor” (as such term is defined in Rule 501 of Regulation D promulgated under the Securities Act).</w:t>
      </w:r>
    </w:p>
    <w:p>
      <w:pPr>
        <w:spacing w:after="0" w:line="170" w:lineRule="exact"/>
        <w:rPr>
          <w:sz w:val="20"/>
          <w:szCs w:val="20"/>
          <w:color w:val="auto"/>
        </w:rPr>
      </w:pPr>
    </w:p>
    <w:p>
      <w:pPr>
        <w:ind w:left="560" w:right="40" w:hanging="442"/>
        <w:spacing w:after="0" w:line="270" w:lineRule="auto"/>
        <w:tabs>
          <w:tab w:leader="none" w:pos="56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Investment Risk</w:t>
      </w:r>
      <w:r>
        <w:rPr>
          <w:rFonts w:ascii="Arial" w:cs="Arial" w:eastAsia="Arial" w:hAnsi="Arial"/>
          <w:sz w:val="19"/>
          <w:szCs w:val="19"/>
          <w:color w:val="auto"/>
        </w:rPr>
        <w:t>. The Purchaser understands that its investment in the Shares involves a significant degree of risk and that the market price of the Common Stock has been and continues to be volatile, that no representation is being made as to the future value of the Common Stock and that the Purchaser has carefully read and considered the matters set forth in public filings made by the Company with the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The Purchaser has the knowledge and experience in financial and business matters as to be capable of evaluating the merits and risks of an investment in the Shares and has the ability to bear the economic risks of an investment in the Shares. The Purchaser has had a reasonable opportunity to review the Company’s public filings with the SEC, to ask questions of the Company and its representatives; and the Company has answered all inquiries that the Purchaser or the Purchaser’s representatives have put to it, and all such inquiries have been answered to the full satisfaction of the Purchaser. The Purchaser acknowledges that certain representatives of the Purchaser are representatives of significant holders of the Company’s outstanding equity securities and are directors of the Company, and, as a result, the Purchaser agrees and acknowledges that all material information regarding the Company’s financial condition, results of operations, business, properties, assets, liabilities, management, projections, appraisals, communications with creditors, and plans, proposals and prospects, including information that may affect the trading price of the Shares is currently known to the Seller and will be known to the Purchaser at the time it completes the transactions contemplated by this Agreement.</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ind w:left="560" w:right="160" w:hanging="442"/>
        <w:spacing w:after="0" w:line="279" w:lineRule="auto"/>
        <w:tabs>
          <w:tab w:leader="none" w:pos="56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Restrictions on Securities</w:t>
      </w:r>
      <w:r>
        <w:rPr>
          <w:rFonts w:ascii="Arial" w:cs="Arial" w:eastAsia="Arial" w:hAnsi="Arial"/>
          <w:sz w:val="19"/>
          <w:szCs w:val="19"/>
          <w:color w:val="auto"/>
        </w:rPr>
        <w:t>. The Shares may only be disposed of in compliance with state and federal securities laws. In connection with any transfer of Shares other than pursuant to an effective registration statement, the Company may require the Purchaser to provide to the Company an opinion of counsel selected by the Purchaser, the form and substance of which opinion shall be reasonably satisfactory to the Company, to the effect that such transfer does not require registration of such transferred Shares under the Securities Act. The Purchaser agrees to the imprinting of a legend on the Shares in the following or substantially similar form:</w:t>
      </w:r>
    </w:p>
    <w:p>
      <w:pPr>
        <w:spacing w:after="0" w:line="83" w:lineRule="exact"/>
        <w:rPr>
          <w:rFonts w:ascii="Arial" w:cs="Arial" w:eastAsia="Arial" w:hAnsi="Arial"/>
          <w:sz w:val="19"/>
          <w:szCs w:val="19"/>
          <w:color w:val="auto"/>
        </w:rPr>
      </w:pPr>
    </w:p>
    <w:p>
      <w:pPr>
        <w:jc w:val="both"/>
        <w:ind w:left="560"/>
        <w:spacing w:after="0" w:line="252" w:lineRule="auto"/>
        <w:rPr>
          <w:rFonts w:ascii="Arial" w:cs="Arial" w:eastAsia="Arial" w:hAnsi="Arial"/>
          <w:sz w:val="19"/>
          <w:szCs w:val="19"/>
          <w:color w:val="auto"/>
        </w:rPr>
      </w:pPr>
      <w:r>
        <w:rPr>
          <w:rFonts w:ascii="Arial" w:cs="Arial" w:eastAsia="Arial" w:hAnsi="Arial"/>
          <w:sz w:val="21"/>
          <w:szCs w:val="21"/>
          <w:color w:val="auto"/>
        </w:rPr>
        <w:t>THE TRANSFER OF THESE SECURITIES HAS NOT BEEN REGISTERED UNDER THE SECURITIES ACT OF 1933, AS AMENDED, OR UNDER THE SECURITIES LAWS OF ANY OTHER JURISDICTION, AND MAY NOT BE SOLD OR TRANSFERRED OTHER THAN IN ACCORDANCE WITH THE REGISTRATION REQUIREMENTS OF THE SECURITIES ACT OF 1933,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325755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132" w:name="page133"/>
    <w:bookmarkEnd w:id="132"/>
    <w:p>
      <w:pPr>
        <w:ind w:left="1320"/>
        <w:spacing w:after="0"/>
        <w:rPr>
          <w:sz w:val="20"/>
          <w:szCs w:val="20"/>
          <w:color w:val="auto"/>
        </w:rPr>
      </w:pPr>
      <w:r>
        <w:rPr>
          <w:rFonts w:ascii="Arial" w:cs="Arial" w:eastAsia="Arial" w:hAnsi="Arial"/>
          <w:sz w:val="22"/>
          <w:szCs w:val="22"/>
          <w:color w:val="auto"/>
        </w:rPr>
        <w:t>AMENDED (OR OTHER APPLICABLE LAW), OR AN EXEMPTION THEREFROM.</w:t>
      </w:r>
    </w:p>
    <w:p>
      <w:pPr>
        <w:spacing w:after="0" w:line="139" w:lineRule="exact"/>
        <w:rPr>
          <w:sz w:val="20"/>
          <w:szCs w:val="20"/>
          <w:color w:val="auto"/>
        </w:rPr>
      </w:pPr>
    </w:p>
    <w:p>
      <w:pPr>
        <w:ind w:left="1320" w:right="120" w:hanging="442"/>
        <w:spacing w:after="0" w:line="297" w:lineRule="auto"/>
        <w:tabs>
          <w:tab w:leader="none" w:pos="1320"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Reliance</w:t>
      </w:r>
      <w:r>
        <w:rPr>
          <w:rFonts w:ascii="Arial" w:cs="Arial" w:eastAsia="Arial" w:hAnsi="Arial"/>
          <w:sz w:val="19"/>
          <w:szCs w:val="19"/>
          <w:color w:val="auto"/>
        </w:rPr>
        <w:t>. The Purchaser is not relying on the Company or any of its employees or agents with respect to the legal, tax, economic and related considerations as to an investment in the Shares and the Purchaser has relied on the advice of, or has consulted with, only its own advisors as it deems necessary or advisable.</w:t>
      </w:r>
    </w:p>
    <w:p>
      <w:pPr>
        <w:spacing w:after="0" w:line="161" w:lineRule="exact"/>
        <w:rPr>
          <w:rFonts w:ascii="Arial" w:cs="Arial" w:eastAsia="Arial" w:hAnsi="Arial"/>
          <w:sz w:val="19"/>
          <w:szCs w:val="19"/>
          <w:color w:val="auto"/>
        </w:rPr>
      </w:pPr>
    </w:p>
    <w:p>
      <w:pPr>
        <w:ind w:left="1320" w:hanging="442"/>
        <w:spacing w:after="0" w:line="234" w:lineRule="auto"/>
        <w:tabs>
          <w:tab w:leader="none" w:pos="1320"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No General Solicitation</w:t>
      </w:r>
      <w:r>
        <w:rPr>
          <w:rFonts w:ascii="Arial" w:cs="Arial" w:eastAsia="Arial" w:hAnsi="Arial"/>
          <w:sz w:val="22"/>
          <w:szCs w:val="22"/>
          <w:color w:val="auto"/>
        </w:rPr>
        <w:t>. The Purchaser is not aware of, is in no way relying on, and did not become aware of the offering of the Shares through or as a result of, any form of general solicitation or general advertising including, without limitation, any article, notice, advertisement or other communication published in any newspaper, magazine or similar media or broadcast over television or radio, in connection with the offering of the Shares and is not subscribing for Shares and did not become aware of the offering of the Shares through or as a result of any seminar or meeting to which the Purchaser was invited by, or any solicitation of a subscription by, a person not previously known to the Purchaser in connection with investments in securities generally.</w:t>
      </w:r>
    </w:p>
    <w:p>
      <w:pPr>
        <w:spacing w:after="0" w:line="214" w:lineRule="exact"/>
        <w:rPr>
          <w:rFonts w:ascii="Arial" w:cs="Arial" w:eastAsia="Arial" w:hAnsi="Arial"/>
          <w:sz w:val="22"/>
          <w:szCs w:val="22"/>
          <w:color w:val="auto"/>
        </w:rPr>
      </w:pPr>
    </w:p>
    <w:p>
      <w:pPr>
        <w:ind w:left="1320" w:right="40" w:hanging="442"/>
        <w:spacing w:after="0"/>
        <w:tabs>
          <w:tab w:leader="none" w:pos="1320"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No Endorsement of Securities</w:t>
      </w:r>
      <w:r>
        <w:rPr>
          <w:rFonts w:ascii="Arial" w:cs="Arial" w:eastAsia="Arial" w:hAnsi="Arial"/>
          <w:sz w:val="22"/>
          <w:szCs w:val="22"/>
          <w:color w:val="auto"/>
        </w:rPr>
        <w:t>. The Purchaser understands that no United States federal or state agency or any other government or governmental agency has passed upon or made any recommendation or endorsement of the Shares.</w:t>
      </w:r>
    </w:p>
    <w:p>
      <w:pPr>
        <w:spacing w:after="0" w:line="213" w:lineRule="exact"/>
        <w:rPr>
          <w:rFonts w:ascii="Arial" w:cs="Arial" w:eastAsia="Arial" w:hAnsi="Arial"/>
          <w:sz w:val="22"/>
          <w:szCs w:val="22"/>
          <w:color w:val="auto"/>
        </w:rPr>
      </w:pPr>
    </w:p>
    <w:p>
      <w:pPr>
        <w:ind w:left="1320" w:right="140" w:hanging="442"/>
        <w:spacing w:after="0" w:line="287" w:lineRule="auto"/>
        <w:tabs>
          <w:tab w:leader="none" w:pos="1320"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Brokers and Finders</w:t>
      </w:r>
      <w:r>
        <w:rPr>
          <w:rFonts w:ascii="Arial" w:cs="Arial" w:eastAsia="Arial" w:hAnsi="Arial"/>
          <w:sz w:val="19"/>
          <w:szCs w:val="19"/>
          <w:color w:val="auto"/>
        </w:rPr>
        <w:t>. There is no investment banker, broker, finder or other intermediary which has been retained by or is authorized to act on behalf of the Purchaser who might be entitled to any fee or commission from the Purchaser, the Company or any of their respective affiliates upon consummation of the transactions contemplated by this Agreement except as may be noted and disclosed to the Company.</w:t>
      </w:r>
    </w:p>
    <w:p>
      <w:pPr>
        <w:spacing w:after="0" w:line="170" w:lineRule="exact"/>
        <w:rPr>
          <w:rFonts w:ascii="Arial" w:cs="Arial" w:eastAsia="Arial" w:hAnsi="Arial"/>
          <w:sz w:val="19"/>
          <w:szCs w:val="19"/>
          <w:color w:val="auto"/>
        </w:rPr>
      </w:pPr>
    </w:p>
    <w:p>
      <w:pPr>
        <w:ind w:left="1320" w:hanging="442"/>
        <w:spacing w:after="0" w:line="277" w:lineRule="auto"/>
        <w:tabs>
          <w:tab w:leader="none" w:pos="1320"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Company’s Representations and Warranties</w:t>
      </w:r>
      <w:r>
        <w:rPr>
          <w:rFonts w:ascii="Arial" w:cs="Arial" w:eastAsia="Arial" w:hAnsi="Arial"/>
          <w:sz w:val="19"/>
          <w:szCs w:val="19"/>
          <w:color w:val="auto"/>
        </w:rPr>
        <w:t>. Except as set forth in Section 3, the Company makes, and has made, no representation or warranty, express or implied, at law or in equity, in respect of any of the assets, liabilities or operations of the Company or any of its subsidiaries, and any such other representations or warranties are hereby expressly disclaimed. Specifically, but in no way limiting the foregoing sentence, the Purchaser agrees and acknowledges that the Company disclaims any representation or warranty, and the Purchaser agrees that the Company shall not have any liability, with respect to any information concerning the Company or any of its subsidiaries not expressly represented or warranted to in this Agreement.</w:t>
      </w:r>
    </w:p>
    <w:p>
      <w:pPr>
        <w:spacing w:after="0" w:line="173" w:lineRule="exact"/>
        <w:rPr>
          <w:rFonts w:ascii="Arial" w:cs="Arial" w:eastAsia="Arial" w:hAnsi="Arial"/>
          <w:sz w:val="19"/>
          <w:szCs w:val="19"/>
          <w:color w:val="auto"/>
        </w:rPr>
      </w:pPr>
    </w:p>
    <w:p>
      <w:pPr>
        <w:ind w:left="440" w:hanging="440"/>
        <w:spacing w:after="0"/>
        <w:tabs>
          <w:tab w:leader="none" w:pos="44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504190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680" w:top="348" w:right="379" w:bottom="1440" w:gutter="0" w:footer="0" w:header="0"/>
        </w:sectPr>
      </w:pPr>
    </w:p>
    <w:bookmarkStart w:id="133" w:name="page134"/>
    <w:bookmarkEnd w:id="133"/>
    <w:p>
      <w:pPr>
        <w:ind w:left="1320" w:right="200" w:hanging="442"/>
        <w:spacing w:after="0" w:line="235" w:lineRule="auto"/>
        <w:tabs>
          <w:tab w:leader="none" w:pos="1320"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The representations and warranties made hereunder shall survive the Closing for a period of one (1) year thereafter (the “</w:t>
      </w:r>
      <w:r>
        <w:rPr>
          <w:rFonts w:ascii="Arial" w:cs="Arial" w:eastAsia="Arial" w:hAnsi="Arial"/>
          <w:sz w:val="22"/>
          <w:szCs w:val="22"/>
          <w:u w:val="single" w:color="auto"/>
          <w:color w:val="auto"/>
        </w:rPr>
        <w:t>Expiration Date</w:t>
      </w:r>
      <w:r>
        <w:rPr>
          <w:rFonts w:ascii="Arial" w:cs="Arial" w:eastAsia="Arial" w:hAnsi="Arial"/>
          <w:sz w:val="22"/>
          <w:szCs w:val="22"/>
          <w:color w:val="auto"/>
        </w:rPr>
        <w:t>”). Notwithstanding the preceding sentence, any representation or warranty in respect of which an indemnity may be sought hereof shall survive the time at which it would otherwise terminate pursuant to the preceding sentence, if a claim for indemnification shall have been given to the party against whom such indemnity may be sought prior to the Expiration Date.</w:t>
      </w:r>
    </w:p>
    <w:p>
      <w:pPr>
        <w:spacing w:after="0" w:line="215" w:lineRule="exact"/>
        <w:rPr>
          <w:rFonts w:ascii="Arial" w:cs="Arial" w:eastAsia="Arial" w:hAnsi="Arial"/>
          <w:sz w:val="22"/>
          <w:szCs w:val="22"/>
          <w:color w:val="auto"/>
        </w:rPr>
      </w:pPr>
    </w:p>
    <w:p>
      <w:pPr>
        <w:ind w:left="1320" w:hanging="442"/>
        <w:spacing w:after="0" w:line="277" w:lineRule="auto"/>
        <w:tabs>
          <w:tab w:leader="none" w:pos="1320"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Company Indemnification</w:t>
      </w:r>
      <w:r>
        <w:rPr>
          <w:rFonts w:ascii="Arial" w:cs="Arial" w:eastAsia="Arial" w:hAnsi="Arial"/>
          <w:sz w:val="19"/>
          <w:szCs w:val="19"/>
          <w:color w:val="auto"/>
        </w:rPr>
        <w:t>. The Company agrees to indemnify and hold harmless, to the fullest extent permitted by law, but without duplication, the Purchaser, including its officers, directors, employees, partners, representatives and agents (each of the foregoing persons being a “</w:t>
      </w:r>
      <w:r>
        <w:rPr>
          <w:rFonts w:ascii="Arial" w:cs="Arial" w:eastAsia="Arial" w:hAnsi="Arial"/>
          <w:sz w:val="19"/>
          <w:szCs w:val="19"/>
          <w:u w:val="single" w:color="auto"/>
          <w:color w:val="auto"/>
        </w:rPr>
        <w:t>Purchaser Indemnified Person</w:t>
      </w:r>
      <w:r>
        <w:rPr>
          <w:rFonts w:ascii="Arial" w:cs="Arial" w:eastAsia="Arial" w:hAnsi="Arial"/>
          <w:sz w:val="19"/>
          <w:szCs w:val="19"/>
          <w:color w:val="auto"/>
        </w:rPr>
        <w:t>”), from and against any and all losses, claims, damages, liabilities, costs and expenses (including documented and reasonable attorneys’ fees)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actually incurred by a Purchaser Indemnified Person arising out of or based upon a material breach by the Company of any its representations or warranties contained in the Agreement or in any agreement, instrument or document delivered by the Company hereunder.</w:t>
      </w:r>
    </w:p>
    <w:p>
      <w:pPr>
        <w:spacing w:after="0" w:line="179" w:lineRule="exact"/>
        <w:rPr>
          <w:rFonts w:ascii="Arial" w:cs="Arial" w:eastAsia="Arial" w:hAnsi="Arial"/>
          <w:sz w:val="19"/>
          <w:szCs w:val="19"/>
          <w:color w:val="auto"/>
        </w:rPr>
      </w:pPr>
    </w:p>
    <w:p>
      <w:pPr>
        <w:ind w:left="1320" w:right="60" w:hanging="442"/>
        <w:spacing w:after="0" w:line="279" w:lineRule="auto"/>
        <w:tabs>
          <w:tab w:leader="none" w:pos="1320"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Purchaser Indemnification</w:t>
      </w:r>
      <w:r>
        <w:rPr>
          <w:rFonts w:ascii="Arial" w:cs="Arial" w:eastAsia="Arial" w:hAnsi="Arial"/>
          <w:sz w:val="19"/>
          <w:szCs w:val="19"/>
          <w:color w:val="auto"/>
        </w:rPr>
        <w:t>. The Purchaser agrees and covenants to hold harmless and indemnify the Company, including its officers, directors, employees, partners, representatives and agents (each of the foregoing persons being a “</w:t>
      </w:r>
      <w:r>
        <w:rPr>
          <w:rFonts w:ascii="Arial" w:cs="Arial" w:eastAsia="Arial" w:hAnsi="Arial"/>
          <w:sz w:val="19"/>
          <w:szCs w:val="19"/>
          <w:u w:val="single" w:color="auto"/>
          <w:color w:val="auto"/>
        </w:rPr>
        <w:t>Company Indemnified Person</w:t>
      </w:r>
      <w:r>
        <w:rPr>
          <w:rFonts w:ascii="Arial" w:cs="Arial" w:eastAsia="Arial" w:hAnsi="Arial"/>
          <w:sz w:val="19"/>
          <w:szCs w:val="19"/>
          <w:color w:val="auto"/>
        </w:rPr>
        <w:t>”), from and against any and all Losses to which such Company Indemnified Person may become subject under the Securities Act or otherwise which arises out of or is based in any manner upon a material breach by the Purchaser of any its representations or warranties contained in the Agreement or in any agreement, instrument or document delivered by the Purchaser hereunder.</w:t>
      </w:r>
    </w:p>
    <w:p>
      <w:pPr>
        <w:spacing w:after="0" w:line="171" w:lineRule="exact"/>
        <w:rPr>
          <w:rFonts w:ascii="Arial" w:cs="Arial" w:eastAsia="Arial" w:hAnsi="Arial"/>
          <w:sz w:val="19"/>
          <w:szCs w:val="19"/>
          <w:color w:val="auto"/>
        </w:rPr>
      </w:pPr>
    </w:p>
    <w:p>
      <w:pPr>
        <w:ind w:left="440" w:hanging="440"/>
        <w:spacing w:after="0"/>
        <w:tabs>
          <w:tab w:leader="none" w:pos="44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right="560" w:hanging="442"/>
        <w:spacing w:after="0"/>
        <w:tabs>
          <w:tab w:leader="none" w:pos="1320"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and understanding of the parties with respect to the transactions contemplated hereby and thereby and supersede all prior agreements and understandings with respect hereto or thereto, whether written or oral.</w:t>
      </w:r>
    </w:p>
    <w:p>
      <w:pPr>
        <w:spacing w:after="0" w:line="213" w:lineRule="exact"/>
        <w:rPr>
          <w:rFonts w:ascii="Arial" w:cs="Arial" w:eastAsia="Arial" w:hAnsi="Arial"/>
          <w:sz w:val="22"/>
          <w:szCs w:val="22"/>
          <w:color w:val="auto"/>
        </w:rPr>
      </w:pPr>
    </w:p>
    <w:p>
      <w:pPr>
        <w:jc w:val="both"/>
        <w:ind w:left="1320" w:right="180" w:hanging="442"/>
        <w:spacing w:after="0" w:line="273" w:lineRule="auto"/>
        <w:tabs>
          <w:tab w:leader="none" w:pos="1320"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No Waiver; Modifications in Writing</w:t>
      </w:r>
      <w:r>
        <w:rPr>
          <w:rFonts w:ascii="Arial" w:cs="Arial" w:eastAsia="Arial" w:hAnsi="Arial"/>
          <w:sz w:val="19"/>
          <w:szCs w:val="19"/>
          <w:color w:val="auto"/>
        </w:rPr>
        <w:t>. No failure or delay by a party in exercising any right, power or remedy hereunder shall operate as a waiver thereof, nor shall any single or partial exercise of any such right, power or remedy preclude any other or further exercise thereof or the exercise of any other right, power or remedy.</w:t>
      </w:r>
    </w:p>
    <w:p>
      <w:pPr>
        <w:spacing w:after="0" w:line="1" w:lineRule="exact"/>
        <w:rPr>
          <w:rFonts w:ascii="Arial" w:cs="Arial" w:eastAsia="Arial" w:hAnsi="Arial"/>
          <w:sz w:val="19"/>
          <w:szCs w:val="19"/>
          <w:color w:val="auto"/>
        </w:rPr>
      </w:pPr>
    </w:p>
    <w:p>
      <w:pPr>
        <w:ind w:left="1320" w:right="160"/>
        <w:spacing w:after="0" w:line="234" w:lineRule="auto"/>
        <w:rPr>
          <w:rFonts w:ascii="Arial" w:cs="Arial" w:eastAsia="Arial" w:hAnsi="Arial"/>
          <w:sz w:val="19"/>
          <w:szCs w:val="19"/>
          <w:color w:val="auto"/>
        </w:rPr>
      </w:pPr>
      <w:r>
        <w:rPr>
          <w:rFonts w:ascii="Arial" w:cs="Arial" w:eastAsia="Arial" w:hAnsi="Arial"/>
          <w:sz w:val="22"/>
          <w:szCs w:val="22"/>
          <w:color w:val="auto"/>
        </w:rPr>
        <w:t>Except as otherwise expressly provided herein with respect to any right of indemnification, the remedies provided for herein are cumulative and are not exclusive of any remedies that may be available to any party at law or in equity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334645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48" w:right="239" w:bottom="1440" w:gutter="0" w:footer="0" w:header="0"/>
        </w:sectPr>
      </w:pPr>
    </w:p>
    <w:bookmarkStart w:id="134" w:name="page135"/>
    <w:bookmarkEnd w:id="134"/>
    <w:p>
      <w:pPr>
        <w:ind w:left="560" w:right="80"/>
        <w:spacing w:after="0" w:line="279" w:lineRule="auto"/>
        <w:rPr>
          <w:sz w:val="20"/>
          <w:szCs w:val="20"/>
          <w:color w:val="auto"/>
        </w:rPr>
      </w:pPr>
      <w:r>
        <w:rPr>
          <w:rFonts w:ascii="Arial" w:cs="Arial" w:eastAsia="Arial" w:hAnsi="Arial"/>
          <w:sz w:val="19"/>
          <w:szCs w:val="19"/>
          <w:color w:val="auto"/>
        </w:rPr>
        <w:t>otherwise. No waiver of or consent to any departure by a party from any provision of this Agreement shall be effective unless signed in writing by the parties entitled to the benefit thereof. No amendment, modification or termination of any provision of this Agreement shall be effective unless signed in writing by all parties. Any amendment, supplement or modification of or to any provision of this Agreement, any waiver of any provision of this Agreement, and any consent to any departure from the terms of any provision of this Agreement, shall be effective only in the specific instance and for the specific purpose for which made or given.</w:t>
      </w:r>
    </w:p>
    <w:p>
      <w:pPr>
        <w:spacing w:after="0" w:line="178" w:lineRule="exact"/>
        <w:rPr>
          <w:sz w:val="20"/>
          <w:szCs w:val="20"/>
          <w:color w:val="auto"/>
        </w:rPr>
      </w:pPr>
    </w:p>
    <w:p>
      <w:pPr>
        <w:jc w:val="both"/>
        <w:ind w:left="560" w:right="200" w:hanging="442"/>
        <w:spacing w:after="0" w:line="273" w:lineRule="auto"/>
        <w:tabs>
          <w:tab w:leader="none" w:pos="56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Agreement may be executed in two counterparts and by the parties hereto on separate counterparts, each of which counterparts, when so executed and delivered, shall be deemed to be an original and all of which counterparts, taken together, shall constitute but one and the same Agreement.</w:t>
      </w:r>
    </w:p>
    <w:p>
      <w:pPr>
        <w:spacing w:after="0" w:line="1"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22"/>
          <w:szCs w:val="22"/>
          <w:color w:val="auto"/>
        </w:rPr>
        <w:t>Signature by facsimile or electronic PDF file shall constitute original signatures.</w:t>
      </w:r>
    </w:p>
    <w:p>
      <w:pPr>
        <w:spacing w:after="0" w:line="215" w:lineRule="exact"/>
        <w:rPr>
          <w:rFonts w:ascii="Arial" w:cs="Arial" w:eastAsia="Arial" w:hAnsi="Arial"/>
          <w:sz w:val="19"/>
          <w:szCs w:val="19"/>
          <w:color w:val="auto"/>
        </w:rPr>
      </w:pPr>
    </w:p>
    <w:p>
      <w:pPr>
        <w:ind w:left="560" w:right="60" w:hanging="442"/>
        <w:spacing w:after="0" w:line="247" w:lineRule="auto"/>
        <w:tabs>
          <w:tab w:leader="none" w:pos="560"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Binding Effect; Assignment</w:t>
      </w:r>
      <w:r>
        <w:rPr>
          <w:rFonts w:ascii="Arial" w:cs="Arial" w:eastAsia="Arial" w:hAnsi="Arial"/>
          <w:sz w:val="21"/>
          <w:szCs w:val="21"/>
          <w:color w:val="auto"/>
        </w:rPr>
        <w:t>. The rights and obligations of the parties under this Agreement may not be assigned or otherwise transferred to any other person, without the prior written consent of the other party hereto. Except as expressly provided in this Agreement, this Agreement shall not be construed so as to confer any right or benefit upon any person other than the parties to this Agreement, their respective permitted heirs, representatives, executors, successors and assigns. This Agreement shall be binding upon and shall inure to the benefit of the Company, the Purchaser and their respective permitted heirs, representatives, executors, successors and assigns.</w:t>
      </w:r>
    </w:p>
    <w:p>
      <w:pPr>
        <w:spacing w:after="0" w:line="205" w:lineRule="exact"/>
        <w:rPr>
          <w:rFonts w:ascii="Arial" w:cs="Arial" w:eastAsia="Arial" w:hAnsi="Arial"/>
          <w:sz w:val="21"/>
          <w:szCs w:val="21"/>
          <w:color w:val="auto"/>
        </w:rPr>
      </w:pPr>
    </w:p>
    <w:p>
      <w:pPr>
        <w:ind w:left="560" w:right="180" w:hanging="442"/>
        <w:spacing w:after="0"/>
        <w:tabs>
          <w:tab w:leader="none" w:pos="56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deemed to be a contract made under and shall be governed by and construed in accordance with the internal laws of the State of New York without reference to the principles of conflict of laws.</w:t>
      </w:r>
    </w:p>
    <w:p>
      <w:pPr>
        <w:spacing w:after="0" w:line="213" w:lineRule="exact"/>
        <w:rPr>
          <w:rFonts w:ascii="Arial" w:cs="Arial" w:eastAsia="Arial" w:hAnsi="Arial"/>
          <w:sz w:val="22"/>
          <w:szCs w:val="22"/>
          <w:color w:val="auto"/>
        </w:rPr>
      </w:pPr>
    </w:p>
    <w:p>
      <w:pPr>
        <w:ind w:left="560" w:hanging="442"/>
        <w:spacing w:after="0" w:line="274" w:lineRule="auto"/>
        <w:tabs>
          <w:tab w:leader="none" w:pos="56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Consent to Jurisdiction and Service of Process</w:t>
      </w:r>
      <w:r>
        <w:rPr>
          <w:rFonts w:ascii="Arial" w:cs="Arial" w:eastAsia="Arial" w:hAnsi="Arial"/>
          <w:sz w:val="19"/>
          <w:szCs w:val="19"/>
          <w:color w:val="auto"/>
        </w:rPr>
        <w:t>. Any suit, action or proceeding arising out of or relating to the Agreement or the transactions contemplated hereby may be instituted in any federal court situated in the State of New York or any state court of the State of New York, and each party agrees not to assert, by way of motion, as a defense or otherwise, in any such suit, action or proceeding, any claim that it is not subject personally to the jurisdiction of such court, that the suit, action or proceeding is brought in an inconvenient forum, that the venue of the suit, action or proceeding is improper or that the Agreement or the subject matter hereof or thereof may not be enforced in or by such court. Each party further irrevocably submits to the jurisdiction of such court in any such suit, action or proceeding. Nothing herein contained shall be deemed to affect the right of any party to serve process in any manner permitted by law or to commence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316230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348" w:right="259" w:bottom="1440" w:gutter="0" w:footer="0" w:header="0"/>
        </w:sectPr>
      </w:pPr>
    </w:p>
    <w:bookmarkStart w:id="135" w:name="page136"/>
    <w:bookmarkEnd w:id="135"/>
    <w:p>
      <w:pPr>
        <w:ind w:left="560"/>
        <w:spacing w:after="0"/>
        <w:rPr>
          <w:sz w:val="20"/>
          <w:szCs w:val="20"/>
          <w:color w:val="auto"/>
        </w:rPr>
      </w:pPr>
      <w:r>
        <w:rPr>
          <w:rFonts w:ascii="Arial" w:cs="Arial" w:eastAsia="Arial" w:hAnsi="Arial"/>
          <w:sz w:val="22"/>
          <w:szCs w:val="22"/>
          <w:color w:val="auto"/>
        </w:rPr>
        <w:t>legal proceedings or otherwise proceed against any other party in any other jurisdiction.</w:t>
      </w:r>
    </w:p>
    <w:p>
      <w:pPr>
        <w:spacing w:after="0" w:line="233" w:lineRule="exact"/>
        <w:rPr>
          <w:sz w:val="20"/>
          <w:szCs w:val="20"/>
          <w:color w:val="auto"/>
        </w:rPr>
      </w:pPr>
    </w:p>
    <w:p>
      <w:pPr>
        <w:ind w:left="560" w:right="100" w:hanging="442"/>
        <w:spacing w:after="0" w:line="235" w:lineRule="auto"/>
        <w:tabs>
          <w:tab w:leader="none" w:pos="56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hereof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To the extent permitted by law, the parties hereto waive any provision of law that renders any such provision prohibited or unenforceable in any respect.</w:t>
      </w:r>
    </w:p>
    <w:p>
      <w:pPr>
        <w:spacing w:after="0" w:line="215" w:lineRule="exact"/>
        <w:rPr>
          <w:rFonts w:ascii="Arial" w:cs="Arial" w:eastAsia="Arial" w:hAnsi="Arial"/>
          <w:sz w:val="22"/>
          <w:szCs w:val="22"/>
          <w:color w:val="auto"/>
        </w:rPr>
      </w:pPr>
    </w:p>
    <w:p>
      <w:pPr>
        <w:ind w:left="560" w:right="1000" w:hanging="442"/>
        <w:spacing w:after="0" w:line="328" w:lineRule="auto"/>
        <w:tabs>
          <w:tab w:leader="none" w:pos="56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Article, Section and subsection headings used or contained in this Agreement are for convenience of reference only and shall not affect the construction of this Agreement.</w:t>
      </w:r>
    </w:p>
    <w:p>
      <w:pPr>
        <w:spacing w:after="0" w:line="132" w:lineRule="exact"/>
        <w:rPr>
          <w:rFonts w:ascii="Arial" w:cs="Arial" w:eastAsia="Arial" w:hAnsi="Arial"/>
          <w:sz w:val="19"/>
          <w:szCs w:val="19"/>
          <w:color w:val="auto"/>
        </w:rPr>
      </w:pPr>
    </w:p>
    <w:p>
      <w:pPr>
        <w:ind w:left="560" w:hanging="442"/>
        <w:spacing w:after="0" w:line="251" w:lineRule="auto"/>
        <w:tabs>
          <w:tab w:leader="none" w:pos="56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Each party shall bear its own fees, costs and expenses in connection with the execution, delivery and performance of the Agreement.</w:t>
      </w:r>
    </w:p>
    <w:p>
      <w:pPr>
        <w:spacing w:after="0" w:line="200" w:lineRule="exact"/>
        <w:rPr>
          <w:rFonts w:ascii="Arial" w:cs="Arial" w:eastAsia="Arial" w:hAnsi="Arial"/>
          <w:sz w:val="22"/>
          <w:szCs w:val="22"/>
          <w:color w:val="auto"/>
        </w:rPr>
      </w:pPr>
    </w:p>
    <w:p>
      <w:pPr>
        <w:ind w:left="560" w:right="340" w:hanging="442"/>
        <w:spacing w:after="0" w:line="238" w:lineRule="auto"/>
        <w:tabs>
          <w:tab w:leader="none" w:pos="56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Publicity</w:t>
      </w:r>
      <w:r>
        <w:rPr>
          <w:rFonts w:ascii="Arial" w:cs="Arial" w:eastAsia="Arial" w:hAnsi="Arial"/>
          <w:sz w:val="22"/>
          <w:szCs w:val="22"/>
          <w:color w:val="auto"/>
        </w:rPr>
        <w:t>. The parties agree that no public release or announcement concerning the Agreement or the transactions contemplated hereby shall be made without advance review and approval by each party hereto, except as otherwise required by applicable law, and which review and approval shall not be unreasonably withheld or delayed.</w:t>
      </w:r>
    </w:p>
    <w:p>
      <w:pPr>
        <w:spacing w:after="0" w:line="212" w:lineRule="exact"/>
        <w:rPr>
          <w:rFonts w:ascii="Arial" w:cs="Arial" w:eastAsia="Arial" w:hAnsi="Arial"/>
          <w:sz w:val="22"/>
          <w:szCs w:val="22"/>
          <w:color w:val="auto"/>
        </w:rPr>
      </w:pPr>
    </w:p>
    <w:p>
      <w:pPr>
        <w:ind w:left="560" w:hanging="442"/>
        <w:spacing w:after="0" w:line="272" w:lineRule="auto"/>
        <w:tabs>
          <w:tab w:leader="none" w:pos="56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The Purchaser acknowledges that the Company will be irreparably damaged if the provisions of this Agreement applicable to the Purchaser are not specifically enforced. If the Purchaser shall default in any of its obligations under this Agreement or if any representation or warranty made by or on behalf of the Purchaser in this Agreement or in any certificate, report or other instrument delivered under or pursuant to any term hereof or thereof shall be untrue or misleading as of the date made, the Company may proceed to protect and enforce its rights by suit in equity or action at law (without the posting of any bond and without proving that damages would be inadequate), whether for the specific performance of any term contained in this Agreement, injunction against the breach of any such term or in furtherance of the exercise of any power granted in this Agreement, or to enforce any other legal or equitable right of the Company or to take any one of more of such actions. The Company shall be permitted to enforce specifically the terms and provisions hereof in any court of the United States or any state thereof or any other court having jurisdiction, this being in addition to any other remedy to which the Company may be entitled at law or in equity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472440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80"/>
          </w:cols>
          <w:pgMar w:left="1440" w:top="348" w:right="279" w:bottom="1440" w:gutter="0" w:footer="0" w:header="0"/>
        </w:sectPr>
      </w:pPr>
    </w:p>
    <w:bookmarkStart w:id="136" w:name="page137"/>
    <w:bookmarkEnd w:id="136"/>
    <w:p>
      <w:pPr>
        <w:ind w:left="560" w:hanging="442"/>
        <w:spacing w:after="0" w:line="238" w:lineRule="auto"/>
        <w:tabs>
          <w:tab w:leader="none" w:pos="56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shall execute and deliver such documents, instruments and agreements and take such further actions as may be reasonably required or desirable to carry out the provisions of this Agreement and the transactions contemplated hereby, and each of the parties hereto shall cooperate with each other in connection with the foregoing.</w:t>
      </w:r>
    </w:p>
    <w:p>
      <w:pPr>
        <w:spacing w:after="0" w:line="11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594995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348" w:right="259" w:bottom="1440" w:gutter="0" w:footer="0" w:header="0"/>
        </w:sectPr>
      </w:pPr>
    </w:p>
    <w:bookmarkStart w:id="137" w:name="page138"/>
    <w:bookmarkEnd w:id="137"/>
    <w:p>
      <w:pPr>
        <w:ind w:left="3920"/>
        <w:spacing w:after="0"/>
        <w:rPr>
          <w:sz w:val="20"/>
          <w:szCs w:val="20"/>
          <w:color w:val="auto"/>
        </w:rPr>
      </w:pPr>
      <w:r>
        <w:rPr>
          <w:rFonts w:ascii="Arial" w:cs="Arial" w:eastAsia="Arial" w:hAnsi="Arial"/>
          <w:sz w:val="22"/>
          <w:szCs w:val="22"/>
          <w:b w:val="1"/>
          <w:bCs w:val="1"/>
          <w:color w:val="auto"/>
        </w:rPr>
        <w:t>COUNTERPART SIGNATURE PAGE</w:t>
      </w:r>
    </w:p>
    <w:p>
      <w:pPr>
        <w:spacing w:after="0" w:line="145"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WITNESS WHEREOF, the undersigned has duly executed this Securities Purchase Agreement as of the date first above written.</w:t>
      </w:r>
    </w:p>
    <w:p>
      <w:pPr>
        <w:spacing w:after="0" w:line="86"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PURCHASER</w:t>
      </w:r>
      <w:r>
        <w:rPr>
          <w:rFonts w:ascii="Arial" w:cs="Arial" w:eastAsia="Arial" w:hAnsi="Arial"/>
          <w:sz w:val="22"/>
          <w:szCs w:val="22"/>
          <w:b w:val="1"/>
          <w:bCs w:val="1"/>
          <w:color w:val="auto"/>
        </w:rPr>
        <w:t>:</w:t>
      </w:r>
    </w:p>
    <w:p>
      <w:pPr>
        <w:spacing w:after="0" w:line="14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MACANDREWS &amp; FORBES GROUP LLC</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_________________________</w:t>
      </w:r>
    </w:p>
    <w:p>
      <w:pPr>
        <w:spacing w:after="0" w:line="12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Name:</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Title: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342" w:right="659" w:bottom="1440" w:gutter="0" w:footer="0" w:header="0"/>
        </w:sectPr>
      </w:pPr>
    </w:p>
    <w:bookmarkStart w:id="138" w:name="page139"/>
    <w:bookmarkEnd w:id="138"/>
    <w:p>
      <w:pPr>
        <w:ind w:left="3920"/>
        <w:spacing w:after="0"/>
        <w:rPr>
          <w:sz w:val="20"/>
          <w:szCs w:val="20"/>
          <w:color w:val="auto"/>
        </w:rPr>
      </w:pPr>
      <w:r>
        <w:rPr>
          <w:rFonts w:ascii="Arial" w:cs="Arial" w:eastAsia="Arial" w:hAnsi="Arial"/>
          <w:sz w:val="22"/>
          <w:szCs w:val="22"/>
          <w:b w:val="1"/>
          <w:bCs w:val="1"/>
          <w:color w:val="auto"/>
        </w:rPr>
        <w:t>COUNTERPART SIGNATURE PAGE</w:t>
      </w:r>
    </w:p>
    <w:p>
      <w:pPr>
        <w:spacing w:after="0" w:line="145"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WITNESS WHEREOF, the undersigned has duly executed this Securities Purchase Agreement as of the date first above written.</w:t>
      </w:r>
    </w:p>
    <w:p>
      <w:pPr>
        <w:spacing w:after="0" w:line="33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VTV THERAPEUTICS INC.</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___________________________</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Name:</w:t>
      </w:r>
    </w:p>
    <w:p>
      <w:pPr>
        <w:spacing w:after="0" w:line="12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Title: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Address:</w:t>
      </w:r>
    </w:p>
    <w:p>
      <w:pPr>
        <w:sectPr>
          <w:pgSz w:w="11900" w:h="16838" w:orient="portrait"/>
          <w:cols w:equalWidth="0" w:num="1">
            <w:col w:w="11000"/>
          </w:cols>
          <w:pgMar w:left="240" w:top="342" w:right="6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580" w:type="dxa"/>
            <w:vAlign w:val="bottom"/>
            <w:gridSpan w:val="3"/>
          </w:tcPr>
          <w:p>
            <w:pPr>
              <w:jc w:val="center"/>
              <w:ind w:right="2759"/>
              <w:spacing w:after="0"/>
              <w:rPr>
                <w:sz w:val="20"/>
                <w:szCs w:val="20"/>
                <w:color w:val="auto"/>
              </w:rPr>
            </w:pPr>
            <w:r>
              <w:rPr>
                <w:rFonts w:ascii="Arial" w:cs="Arial" w:eastAsia="Arial" w:hAnsi="Arial"/>
                <w:sz w:val="18"/>
                <w:szCs w:val="18"/>
                <w:color w:val="auto"/>
                <w:w w:val="91"/>
              </w:rPr>
              <w:t>vTv Therapeutics Inc.</w:t>
            </w: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580" w:type="dxa"/>
            <w:vAlign w:val="bottom"/>
            <w:gridSpan w:val="3"/>
          </w:tcPr>
          <w:p>
            <w:pPr>
              <w:jc w:val="center"/>
              <w:ind w:right="2739"/>
              <w:spacing w:after="0"/>
              <w:rPr>
                <w:sz w:val="20"/>
                <w:szCs w:val="20"/>
                <w:color w:val="auto"/>
              </w:rPr>
            </w:pPr>
            <w:r>
              <w:rPr>
                <w:rFonts w:ascii="Arial" w:cs="Arial" w:eastAsia="Arial" w:hAnsi="Arial"/>
                <w:sz w:val="18"/>
                <w:szCs w:val="18"/>
                <w:color w:val="auto"/>
                <w:w w:val="89"/>
              </w:rPr>
              <w:t>Corporate Subsidiaries as of February 20, 2020</w:t>
            </w:r>
          </w:p>
        </w:tc>
      </w:tr>
      <w:tr>
        <w:trPr>
          <w:trHeight w:val="378"/>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Pr>
          <w:p>
            <w:pPr>
              <w:ind w:left="1820"/>
              <w:spacing w:after="0"/>
              <w:rPr>
                <w:sz w:val="20"/>
                <w:szCs w:val="20"/>
                <w:color w:val="auto"/>
              </w:rPr>
            </w:pPr>
            <w:r>
              <w:rPr>
                <w:rFonts w:ascii="Arial" w:cs="Arial" w:eastAsia="Arial" w:hAnsi="Arial"/>
                <w:sz w:val="14"/>
                <w:szCs w:val="14"/>
                <w:b w:val="1"/>
                <w:bCs w:val="1"/>
                <w:color w:val="auto"/>
              </w:rPr>
              <w:t>Jurisdiction of Incorporation</w:t>
            </w:r>
          </w:p>
        </w:tc>
      </w:tr>
      <w:tr>
        <w:trPr>
          <w:trHeight w:val="224"/>
        </w:trPr>
        <w:tc>
          <w:tcPr>
            <w:tcW w:w="20" w:type="dxa"/>
            <w:vAlign w:val="bottom"/>
          </w:tcPr>
          <w:p>
            <w:pPr>
              <w:spacing w:after="0"/>
              <w:rPr>
                <w:sz w:val="19"/>
                <w:szCs w:val="19"/>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vTv Therapeutics LLC</w:t>
            </w:r>
          </w:p>
        </w:tc>
        <w:tc>
          <w:tcPr>
            <w:tcW w:w="2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right="2740" w:firstLine="2731"/>
        <w:spacing w:after="0" w:line="375" w:lineRule="auto"/>
        <w:rPr>
          <w:sz w:val="20"/>
          <w:szCs w:val="20"/>
          <w:color w:val="auto"/>
        </w:rPr>
      </w:pPr>
      <w:r>
        <w:rPr>
          <w:rFonts w:ascii="Arial" w:cs="Arial" w:eastAsia="Arial" w:hAnsi="Arial"/>
          <w:sz w:val="18"/>
          <w:szCs w:val="18"/>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760" w:hanging="374"/>
        <w:spacing w:after="0"/>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Registration Statement (Form S-8 No. 333-206335) pertaining to the vTv Therapeutics Inc. 2015 Omnibus Equity Incentive Plan, and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Registration Statement (Form S-3 No. 333-223269) of vTv Therapeutics Inc., and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Registration Statement (Form S-3 No. 333-232571) of vTv Therapeutics Inc.;</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our report dated February 20, 2020 with respect to the consolidated financial statements of vTv Therapeutics Inc. included in this Annual Report (Form 10-K) for the year ended December 31, 2019.</w:t>
      </w:r>
    </w:p>
    <w:p>
      <w:pPr>
        <w:spacing w:after="0" w:line="17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ectPr>
          <w:pgSz w:w="11900" w:h="16838" w:orient="portrait"/>
          <w:cols w:equalWidth="0" w:num="1">
            <w:col w:w="11420"/>
          </w:cols>
          <w:pgMar w:left="240" w:top="13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40" w:hanging="519"/>
        <w:spacing w:after="0"/>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79" w:lineRule="auto"/>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1"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pacing w:after="0" w:line="252" w:lineRule="exact"/>
        <w:rPr>
          <w:sz w:val="20"/>
          <w:szCs w:val="20"/>
          <w:color w:val="auto"/>
        </w:rPr>
      </w:pPr>
    </w:p>
    <w:p>
      <w:pPr>
        <w:ind w:left="6840"/>
        <w:spacing w:after="0"/>
        <w:tabs>
          <w:tab w:leader="none" w:pos="7320" w:val="left"/>
        </w:tabs>
        <w:rPr>
          <w:sz w:val="20"/>
          <w:szCs w:val="20"/>
          <w:color w:val="auto"/>
        </w:rPr>
      </w:pPr>
      <w:r>
        <w:rPr>
          <w:rFonts w:ascii="Arial" w:cs="Arial" w:eastAsia="Arial" w:hAnsi="Arial"/>
          <w:sz w:val="18"/>
          <w:szCs w:val="18"/>
          <w:color w:val="auto"/>
        </w:rPr>
        <w:t>By:</w:t>
        <w:tab/>
        <w:t>/s/ Stephen L. Holcombe</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044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39"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40" w:hanging="519"/>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hanging="506"/>
        <w:spacing w:after="0" w:line="264"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pacing w:after="0" w:line="252" w:lineRule="exact"/>
        <w:rPr>
          <w:sz w:val="20"/>
          <w:szCs w:val="20"/>
          <w:color w:val="auto"/>
        </w:rPr>
      </w:pPr>
    </w:p>
    <w:p>
      <w:pPr>
        <w:ind w:left="6840"/>
        <w:spacing w:after="0"/>
        <w:tabs>
          <w:tab w:leader="none" w:pos="732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044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52"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In connection with the Annual Report of vTv Therapeutics Inc. (the “Company”) on Form 10-K for the period ended December 31, 2019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pacing w:after="0" w:line="252" w:lineRule="exact"/>
        <w:rPr>
          <w:sz w:val="20"/>
          <w:szCs w:val="20"/>
          <w:color w:val="auto"/>
        </w:rPr>
      </w:pPr>
    </w:p>
    <w:p>
      <w:pPr>
        <w:ind w:left="6840"/>
        <w:spacing w:after="0"/>
        <w:tabs>
          <w:tab w:leader="none" w:pos="7320" w:val="left"/>
        </w:tabs>
        <w:rPr>
          <w:sz w:val="20"/>
          <w:szCs w:val="20"/>
          <w:color w:val="auto"/>
        </w:rPr>
      </w:pPr>
      <w:r>
        <w:rPr>
          <w:rFonts w:ascii="Arial" w:cs="Arial" w:eastAsia="Arial" w:hAnsi="Arial"/>
          <w:sz w:val="18"/>
          <w:szCs w:val="18"/>
          <w:color w:val="auto"/>
        </w:rPr>
        <w:t>By:</w:t>
        <w:tab/>
        <w:t>/s/ Stephen L. Holcombe</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0444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52"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connection with the Annual Report of vTv Therapeutics Inc. (the “Company”) on Form 10-K for the period ended December 31, 2019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pacing w:after="0" w:line="252" w:lineRule="exact"/>
        <w:rPr>
          <w:sz w:val="20"/>
          <w:szCs w:val="20"/>
          <w:color w:val="auto"/>
        </w:rPr>
      </w:pPr>
    </w:p>
    <w:p>
      <w:pPr>
        <w:ind w:left="6840"/>
        <w:spacing w:after="0"/>
        <w:tabs>
          <w:tab w:leader="none" w:pos="732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044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1"/>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1."/>
      <w:numFmt w:val="upperLetter"/>
      <w:start w:val="1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decimal"/>
      <w:start w:val="2"/>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1)"/>
      <w:numFmt w:val="decimal"/>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2"/>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1."/>
      <w:numFmt w:val="upperLetter"/>
      <w:start w:val="17"/>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decimal"/>
      <w:start w:val="203"/>
    </w:lvl>
  </w:abstractNum>
  <w:abstractNum w:abstractNumId="74">
    <w:nsid w:val="100F59DC"/>
    <w:multiLevelType w:val="hybridMultilevel"/>
    <w:lvl w:ilvl="0">
      <w:lvlJc w:val="left"/>
      <w:lvlText w:val="(%1)"/>
      <w:numFmt w:val="lowerRoman"/>
      <w:start w:val="2"/>
    </w:lvl>
  </w:abstractNum>
  <w:abstractNum w:abstractNumId="75">
    <w:nsid w:val="7FB7E0AA"/>
    <w:multiLevelType w:val="hybridMultilevel"/>
    <w:lvl w:ilvl="0">
      <w:lvlJc w:val="left"/>
      <w:lvlText w:val="%1."/>
      <w:numFmt w:val="decimal"/>
      <w:start w:val="1"/>
    </w:lvl>
    <w:lvl w:ilvl="1">
      <w:lvlJc w:val="left"/>
      <w:lvlText w:val="%2."/>
      <w:numFmt w:val="lowerLetter"/>
      <w:start w:val="1"/>
    </w:lvl>
  </w:abstractNum>
  <w:abstractNum w:abstractNumId="76">
    <w:nsid w:val="6EB5BD4"/>
    <w:multiLevelType w:val="hybridMultilevel"/>
    <w:lvl w:ilvl="0">
      <w:lvlJc w:val="left"/>
      <w:lvlText w:val="%1"/>
      <w:numFmt w:val="decimal"/>
      <w:start w:val="1"/>
    </w:lvl>
    <w:lvl w:ilvl="1">
      <w:lvlJc w:val="left"/>
      <w:lvlText w:val="%2."/>
      <w:numFmt w:val="lowerLetter"/>
      <w:start w:val="2"/>
    </w:lvl>
  </w:abstractNum>
  <w:abstractNum w:abstractNumId="77">
    <w:nsid w:val="6F6DD9AC"/>
    <w:multiLevelType w:val="hybridMultilevel"/>
    <w:lvl w:ilvl="0">
      <w:lvlJc w:val="left"/>
      <w:lvlText w:val="%1."/>
      <w:numFmt w:val="decimal"/>
      <w:start w:val="3"/>
    </w:lvl>
    <w:lvl w:ilvl="1">
      <w:lvlJc w:val="left"/>
      <w:lvlText w:val="%2."/>
      <w:numFmt w:val="lowerLetter"/>
      <w:start w:val="1"/>
    </w:lvl>
  </w:abstractNum>
  <w:abstractNum w:abstractNumId="78">
    <w:nsid w:val="94211F2"/>
    <w:multiLevelType w:val="hybridMultilevel"/>
    <w:lvl w:ilvl="0">
      <w:lvlJc w:val="left"/>
      <w:lvlText w:val="%1."/>
      <w:numFmt w:val="lowerLetter"/>
      <w:start w:val="1"/>
    </w:lvl>
    <w:lvl w:ilvl="1">
      <w:lvlJc w:val="left"/>
      <w:lvlText w:val="%2."/>
      <w:numFmt w:val="lowerRoman"/>
      <w:start w:val="1"/>
    </w:lvl>
  </w:abstractNum>
  <w:abstractNum w:abstractNumId="79">
    <w:nsid w:val="885E1B"/>
    <w:multiLevelType w:val="hybridMultilevel"/>
    <w:lvl w:ilvl="0">
      <w:lvlJc w:val="left"/>
      <w:lvlText w:val="%1."/>
      <w:numFmt w:val="lowerLetter"/>
      <w:start w:val="4"/>
    </w:lvl>
  </w:abstractNum>
  <w:abstractNum w:abstractNumId="80">
    <w:nsid w:val="76272110"/>
    <w:multiLevelType w:val="hybridMultilevel"/>
    <w:lvl w:ilvl="0">
      <w:lvlJc w:val="left"/>
      <w:lvlText w:val="%1."/>
      <w:numFmt w:val="lowerLetter"/>
      <w:start w:val="5"/>
    </w:lvl>
  </w:abstractNum>
  <w:abstractNum w:abstractNumId="81">
    <w:nsid w:val="4C04A8AF"/>
    <w:multiLevelType w:val="hybridMultilevel"/>
    <w:lvl w:ilvl="0">
      <w:lvlJc w:val="left"/>
      <w:lvlText w:val="%1"/>
      <w:numFmt w:val="decimal"/>
      <w:start w:val="1"/>
    </w:lvl>
    <w:lvl w:ilvl="1">
      <w:lvlJc w:val="left"/>
      <w:lvlText w:val="%2."/>
      <w:numFmt w:val="lowerLetter"/>
      <w:start w:val="7"/>
    </w:lvl>
  </w:abstractNum>
  <w:abstractNum w:abstractNumId="82">
    <w:nsid w:val="1716703B"/>
    <w:multiLevelType w:val="hybridMultilevel"/>
    <w:lvl w:ilvl="0">
      <w:lvlJc w:val="left"/>
      <w:lvlText w:val="%1."/>
      <w:numFmt w:val="decimal"/>
      <w:start w:val="5"/>
    </w:lvl>
    <w:lvl w:ilvl="1">
      <w:lvlJc w:val="left"/>
      <w:lvlText w:val="%2"/>
      <w:numFmt w:val="lowerLetter"/>
      <w:start w:val="1"/>
    </w:lvl>
  </w:abstractNum>
  <w:abstractNum w:abstractNumId="83">
    <w:nsid w:val="14E17E33"/>
    <w:multiLevelType w:val="hybridMultilevel"/>
    <w:lvl w:ilvl="0">
      <w:lvlJc w:val="left"/>
      <w:lvlText w:val="%1"/>
      <w:numFmt w:val="decimal"/>
      <w:start w:val="1"/>
    </w:lvl>
    <w:lvl w:ilvl="1">
      <w:lvlJc w:val="left"/>
      <w:lvlText w:val="%2."/>
      <w:numFmt w:val="lowerLetter"/>
      <w:start w:val="1"/>
    </w:lvl>
  </w:abstractNum>
  <w:abstractNum w:abstractNumId="84">
    <w:nsid w:val="3222E7CD"/>
    <w:multiLevelType w:val="hybridMultilevel"/>
    <w:lvl w:ilvl="0">
      <w:lvlJc w:val="left"/>
      <w:lvlText w:val="%1."/>
      <w:numFmt w:val="decimal"/>
      <w:start w:val="6"/>
    </w:lvl>
    <w:lvl w:ilvl="1">
      <w:lvlJc w:val="left"/>
      <w:lvlText w:val="%2."/>
      <w:numFmt w:val="lowerLetter"/>
      <w:start w:val="1"/>
    </w:lvl>
  </w:abstractNum>
  <w:abstractNum w:abstractNumId="85">
    <w:nsid w:val="74DE0EE3"/>
    <w:multiLevelType w:val="hybridMultilevel"/>
    <w:lvl w:ilvl="0">
      <w:lvlJc w:val="left"/>
      <w:lvlText w:val="%1."/>
      <w:numFmt w:val="lowerLetter"/>
      <w:start w:val="3"/>
    </w:lvl>
  </w:abstractNum>
  <w:abstractNum w:abstractNumId="86">
    <w:nsid w:val="68EBC550"/>
    <w:multiLevelType w:val="hybridMultilevel"/>
    <w:lvl w:ilvl="0">
      <w:lvlJc w:val="left"/>
      <w:lvlText w:val="%1."/>
      <w:numFmt w:val="lowerLetter"/>
      <w:start w:val="7"/>
    </w:lvl>
  </w:abstractNum>
  <w:abstractNum w:abstractNumId="87">
    <w:nsid w:val="2DF6D648"/>
    <w:multiLevelType w:val="hybridMultilevel"/>
    <w:lvl w:ilvl="0">
      <w:lvlJc w:val="left"/>
      <w:lvlText w:val="%1."/>
      <w:numFmt w:val="lowerLetter"/>
      <w:start w:val="12"/>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112" Type="http://schemas.openxmlformats.org/officeDocument/2006/relationships/hyperlink" Target="http://www.sec.gov/Archives/edgar/data/1641489/000156761915001036/s000995x1_ex3-1.htm" TargetMode="External"/><Relationship Id="rId113" Type="http://schemas.openxmlformats.org/officeDocument/2006/relationships/hyperlink" Target="http://www.sec.gov/Archives/edgar/data/1641489/000156761915001036/s000995x1_ex3-2.htm" TargetMode="External"/><Relationship Id="rId114" Type="http://schemas.openxmlformats.org/officeDocument/2006/relationships/hyperlink" Target="http://www.sec.gov/Archives/edgar/data/1641489/000156459017002317/vtvt-ex41_480.htm" TargetMode="External"/><Relationship Id="rId115" Type="http://schemas.openxmlformats.org/officeDocument/2006/relationships/hyperlink" Target="http://www.sec.gov/Archives/edgar/data/1641489/000156459018003515/vtvt-ex42_694.htm" TargetMode="External"/><Relationship Id="rId116" Type="http://schemas.openxmlformats.org/officeDocument/2006/relationships/hyperlink" Target="http://www.sec.gov/Archives/edgar/data/1641489/000156761915000982/s000971x7_ex10-6.htm" TargetMode="External"/><Relationship Id="rId117" Type="http://schemas.openxmlformats.org/officeDocument/2006/relationships/hyperlink" Target="http://www.sec.gov/Archives/edgar/data/1641489/000156761915001036/s000995x1_ex10-1.htm" TargetMode="External"/><Relationship Id="rId118" Type="http://schemas.openxmlformats.org/officeDocument/2006/relationships/hyperlink" Target="http://www.sec.gov/Archives/edgar/data/1641489/000156761915001036/s000995x1_ex10-2.htm" TargetMode="External"/><Relationship Id="rId119" Type="http://schemas.openxmlformats.org/officeDocument/2006/relationships/hyperlink" Target="http://www.sec.gov/Archives/edgar/data/1641489/000156761915001036/s000995x1_ex10-3.htm" TargetMode="External"/><Relationship Id="rId120" Type="http://schemas.openxmlformats.org/officeDocument/2006/relationships/hyperlink" Target="http://www.sec.gov/Archives/edgar/data/1641489/000156761915001036/s000995x1_ex10-4.htm" TargetMode="External"/><Relationship Id="rId121" Type="http://schemas.openxmlformats.org/officeDocument/2006/relationships/hyperlink" Target="http://www.sec.gov/Archives/edgar/data/1641489/000156761915001036/s000995x1_ex10-5.htm" TargetMode="External"/><Relationship Id="rId122" Type="http://schemas.openxmlformats.org/officeDocument/2006/relationships/hyperlink" Target="http://www.sec.gov/Archives/edgar/data/1641489/000156761915000982/s000971x7_ex10-7.htm" TargetMode="External"/><Relationship Id="rId125" Type="http://schemas.openxmlformats.org/officeDocument/2006/relationships/hyperlink" Target="http://www.sec.gov/Archives/edgar/data/1641489/000156761915000955/s000971x4_ex10-13.htm" TargetMode="External"/><Relationship Id="rId126" Type="http://schemas.openxmlformats.org/officeDocument/2006/relationships/hyperlink" Target="http://www.sec.gov/Archives/edgar/data/1641489/000156761915000955/s000971x4_ex10-14.htm" TargetMode="External"/><Relationship Id="rId127" Type="http://schemas.openxmlformats.org/officeDocument/2006/relationships/hyperlink" Target="http://www.sec.gov/Archives/edgar/data/1641489/000156761915000955/s000971x4_ex10-15.htm" TargetMode="External"/><Relationship Id="rId128" Type="http://schemas.openxmlformats.org/officeDocument/2006/relationships/hyperlink" Target="http://www.sec.gov/Archives/edgar/data/1641489/000156761915001036/s000995x1_ex10-6.htm" TargetMode="External"/><Relationship Id="rId129" Type="http://schemas.openxmlformats.org/officeDocument/2006/relationships/hyperlink" Target="http://www.sec.gov/Archives/edgar/data/1641489/000156761915001036/s000995x1_ex10-7.htm" TargetMode="External"/><Relationship Id="rId130" Type="http://schemas.openxmlformats.org/officeDocument/2006/relationships/hyperlink" Target="http://www.sec.gov/Archives/edgar/data/1641489/000156761915000855/s000893x4_ex10-8.htm" TargetMode="External"/><Relationship Id="rId131" Type="http://schemas.openxmlformats.org/officeDocument/2006/relationships/hyperlink" Target="http://www.sec.gov/Archives/edgar/data/1641489/000156459017002317/vtvt-ex1017_589.htm" TargetMode="External"/><Relationship Id="rId132" Type="http://schemas.openxmlformats.org/officeDocument/2006/relationships/hyperlink" Target="http://www.sec.gov/Archives/edgar/data/1641489/000156459018003515/vtvt-ex1017_693.htm" TargetMode="External"/><Relationship Id="rId133" Type="http://schemas.openxmlformats.org/officeDocument/2006/relationships/hyperlink" Target="http://www.sec.gov/Archives/edgar/data/1641489/000156459018003515/vtvt-ex1019_691.htm" TargetMode="External"/><Relationship Id="rId134" Type="http://schemas.openxmlformats.org/officeDocument/2006/relationships/hyperlink" Target="http://www.sec.gov/Archives/edgar/data/1641489/000156459018003515/vtvt-ex1020_690.htm" TargetMode="External"/><Relationship Id="rId135" Type="http://schemas.openxmlformats.org/officeDocument/2006/relationships/hyperlink" Target="http://www.sec.gov/Archives/edgar/data/1641489/000156459018019035/vtvt-ex101_258.htm" TargetMode="External"/><Relationship Id="rId136" Type="http://schemas.openxmlformats.org/officeDocument/2006/relationships/hyperlink" Target="http://www.sec.gov/Archives/edgar/data/1641489/000156459019007192/vtvt-ex101_6.htm" TargetMode="External"/><Relationship Id="rId137" Type="http://schemas.openxmlformats.org/officeDocument/2006/relationships/hyperlink" Target="http://www.sec.gov/Archives/edgar/data/1641489/000156459019007192/vtvt-ex102_7.htm" TargetMode="External"/><Relationship Id="rId138" Type="http://schemas.openxmlformats.org/officeDocument/2006/relationships/hyperlink" Target="http://www.sec.gov/Archives/edgar/data/1641489/000156459019008524/vtvt-ex101_9.htm" TargetMode="External"/><Relationship Id="rId139" Type="http://schemas.openxmlformats.org/officeDocument/2006/relationships/hyperlink" Target="http://www.sec.gov/Archives/edgar/data/1641489/000156459019008524/vtvt-ex102_7.htm" TargetMode="External"/><Relationship Id="rId140" Type="http://schemas.openxmlformats.org/officeDocument/2006/relationships/hyperlink" Target="http://www.sec.gov/Archives/edgar/data/1641489/000156459019038844/vtvt-ex101_126.htm" TargetMode="External"/><Relationship Id="rId141" Type="http://schemas.openxmlformats.org/officeDocument/2006/relationships/hyperlink" Target="http://www.sec.gov/Archives/edgar/data/1641489/000156459019038844/vtvt-ex102_1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2020-02-21T05:07:50Z</dcterms:created>
  <dcterms:modified xsi:type="dcterms:W3CDTF">2020-02-21T05:07:50Z</dcterms:modified>
</cp:coreProperties>
</file>