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333-278612</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April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Up to $47,500,000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121920</wp:posOffset>
            </wp:positionV>
            <wp:extent cx="1320165" cy="1045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165" cy="1045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vTv Therapeutics Inc.</w:t>
      </w:r>
    </w:p>
    <w:p>
      <w:pPr>
        <w:spacing w:after="0" w:line="1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previously entered into a sales agreement, or sales agreement, with TD Securities (USA) LLC (formerly known as Cowen and Company, LLC), or TD Cowen, relating to shares of our Class A common stock, $0.01 par value per share, offered by this prospectus supplement and the accompanying prospectus. In accordance with the terms of the sales agreement, from time to time we may offer and sell shares of our Class A common stock having an aggregate gross sales price of up to $50.0 million through or to TD Cowen, acting as sales agent or principal, pursuant to this prospectus supplement and the accompanying prospectus. This prospectus supplement, together with the accompanying prospectus, relates to our Class A common stock that may be offered and sold under the sales agreement. This prospectus supplement replaces and supersedes in its entirety the previously filed prospectus dated April 29, 2024, relating to the offer and sale of our Class A common stock under the sales agreement having an aggregate offering price of up to $12,678,712 and no additional Class A common stock will be sold under the previously filed prospectus following the date of this prospectus supplement. We sold an aggregate of 179,400 shares of Class A Common Stock for an aggregate offering price of approximately $2,500,000 in gross proceeds under the previously filed prospectus. Under this prospectus supplement, we may offer and sell our Class A common stock in accordance with the terms of the sales agreement having an aggregate offering price of up to $47,500,000 from time to time through or to TD Cowen, as agent or principal, which amount is in addition to the Class A common stock previously sold under the previously filed prospectus.</w:t>
      </w:r>
    </w:p>
    <w:p>
      <w:pPr>
        <w:spacing w:after="0" w:line="109" w:lineRule="exact"/>
        <w:rPr>
          <w:sz w:val="24"/>
          <w:szCs w:val="24"/>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traded on The Nasdaq Capital Market under the symbol “VTVT.” On May 11, 2026, the last reported sale price of our Class A common stock as reported on The Nasdaq Capital Market was $30.46 per share.</w:t>
      </w:r>
    </w:p>
    <w:p>
      <w:pPr>
        <w:spacing w:after="0" w:line="94" w:lineRule="exact"/>
        <w:rPr>
          <w:sz w:val="24"/>
          <w:szCs w:val="24"/>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Sales of our Class A common stock, if any, under this prospectus may be made in sales deemed to be an “at-the-market offering” as defined in Rule 415(a)(4) promulgated under the Securities Act of 1933, as amended, or the Securities Act. Subject to terms of the sales agreement, TD Cowen is not required to sell any specific number or dollar amounts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116" w:lineRule="exact"/>
        <w:rPr>
          <w:sz w:val="24"/>
          <w:szCs w:val="24"/>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TD Cowen will be entitled to compensation under the terms of the sales agreement at a fixed commission rate of 3.0% of the gross sales price per share sold. In connection with the sale of our Class A common stock on our behalf, TD Cowen will be deemed to be an “underwriter” within the meaning of the Securities Act and the compensation of TD Cowen will be deemed to be underwriting commissions or discounts. We have also agreed to provide indemnification and contributions to TD Cowen against certain civil liabilities, including liabilities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9" w:lineRule="exact"/>
        <w:rPr>
          <w:sz w:val="24"/>
          <w:szCs w:val="24"/>
          <w:color w:val="auto"/>
        </w:rPr>
      </w:pPr>
    </w:p>
    <w:p>
      <w:pPr>
        <w:ind w:left="120" w:right="38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Investing in our Class A common stock involves risks that are referenced under the caption “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S-5 of this prospectus supplement. We are a “smaller reporting company” and, as such, have elected to comply with certain reduced public company reporting requirements for this prospectus supplement, the accompanying prospectus and our filings with the Securities and Exchange Commission.</w:t>
      </w:r>
    </w:p>
    <w:p>
      <w:pPr>
        <w:spacing w:after="0" w:line="113" w:lineRule="exact"/>
        <w:rPr>
          <w:sz w:val="24"/>
          <w:szCs w:val="24"/>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105410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TD Cowen</w:t>
      </w:r>
    </w:p>
    <w:p>
      <w:pPr>
        <w:sectPr>
          <w:pgSz w:w="11900" w:h="16838" w:orient="portrait"/>
          <w:cols w:equalWidth="0" w:num="1">
            <w:col w:w="11140"/>
          </w:cols>
          <w:pgMar w:left="320" w:top="225" w:right="439" w:bottom="1440" w:gutter="0" w:footer="0" w:header="0"/>
        </w:sectPr>
      </w:pPr>
    </w:p>
    <w:p>
      <w:pPr>
        <w:spacing w:after="0" w:line="20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May 13, 2026.</w:t>
      </w:r>
    </w:p>
    <w:p>
      <w:pPr>
        <w:sectPr>
          <w:pgSz w:w="11900" w:h="16838" w:orient="portrait"/>
          <w:cols w:equalWidth="0" w:num="1">
            <w:col w:w="11140"/>
          </w:cols>
          <w:pgMar w:left="320" w:top="22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0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34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1100" w:type="dxa"/>
            <w:vAlign w:val="bottom"/>
            <w:gridSpan w:val="2"/>
          </w:tcPr>
          <w:p>
            <w:pPr>
              <w:spacing w:after="0"/>
              <w:rPr>
                <w:sz w:val="24"/>
                <w:szCs w:val="24"/>
                <w:color w:val="auto"/>
              </w:rPr>
            </w:pPr>
          </w:p>
        </w:tc>
        <w:tc>
          <w:tcPr>
            <w:tcW w:w="1920" w:type="dxa"/>
            <w:vAlign w:val="bottom"/>
            <w:tcBorders>
              <w:top w:val="single" w:sz="8" w:color="auto"/>
            </w:tcBorders>
            <w:gridSpan w:val="4"/>
          </w:tcPr>
          <w:p>
            <w:pPr>
              <w:spacing w:after="0"/>
              <w:rPr>
                <w:sz w:val="24"/>
                <w:szCs w:val="24"/>
                <w:color w:val="auto"/>
              </w:rPr>
            </w:pPr>
          </w:p>
        </w:tc>
        <w:tc>
          <w:tcPr>
            <w:tcW w:w="20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8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6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r>
      <w:tr>
        <w:trPr>
          <w:trHeight w:val="196"/>
        </w:trPr>
        <w:tc>
          <w:tcPr>
            <w:tcW w:w="120" w:type="dxa"/>
            <w:vAlign w:val="bottom"/>
          </w:tcPr>
          <w:p>
            <w:pPr>
              <w:spacing w:after="0"/>
              <w:rPr>
                <w:sz w:val="17"/>
                <w:szCs w:val="17"/>
                <w:color w:val="auto"/>
              </w:rPr>
            </w:pPr>
          </w:p>
        </w:tc>
        <w:tc>
          <w:tcPr>
            <w:tcW w:w="8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S-v</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322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26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6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68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20" w:type="dxa"/>
            <w:vAlign w:val="bottom"/>
          </w:tcPr>
          <w:p>
            <w:pPr>
              <w:spacing w:after="0"/>
              <w:rPr>
                <w:sz w:val="17"/>
                <w:szCs w:val="17"/>
                <w:color w:val="auto"/>
              </w:rPr>
            </w:pPr>
          </w:p>
        </w:tc>
        <w:tc>
          <w:tcPr>
            <w:tcW w:w="8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50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20" w:type="dxa"/>
            <w:vAlign w:val="bottom"/>
          </w:tcPr>
          <w:p>
            <w:pPr>
              <w:spacing w:after="0"/>
              <w:rPr>
                <w:sz w:val="17"/>
                <w:szCs w:val="17"/>
                <w:color w:val="auto"/>
              </w:rPr>
            </w:pPr>
          </w:p>
        </w:tc>
        <w:tc>
          <w:tcPr>
            <w:tcW w:w="8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34"/>
        </w:trPr>
        <w:tc>
          <w:tcPr>
            <w:tcW w:w="120" w:type="dxa"/>
            <w:vAlign w:val="bottom"/>
          </w:tcPr>
          <w:p>
            <w:pPr>
              <w:spacing w:after="0"/>
              <w:rPr>
                <w:sz w:val="24"/>
                <w:szCs w:val="24"/>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42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854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6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52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STATEMENTS REGARDING FORWARD-LOOKING STATEMENTS</w:t>
            </w:r>
          </w:p>
        </w:tc>
        <w:tc>
          <w:tcPr>
            <w:tcW w:w="332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726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8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280" w:type="dxa"/>
            <w:vAlign w:val="bottom"/>
            <w:gridSpan w:val="9"/>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6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32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CAPITAL STOCK</w:t>
            </w:r>
          </w:p>
        </w:tc>
        <w:tc>
          <w:tcPr>
            <w:tcW w:w="528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8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50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8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offering of our Class A common stock. This prospectus supplement, the accompanying prospectus and the information incorporated by reference in this prospectus supplement and the accompanying prospectus supersedes the previously filed prospectus dated April 29, 2024 in its entirety. This prospectus supplement adds to, updates and, where applicable, modifies information contained or incorporated by reference in the accompanying prospectus.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securities that we are offering, we urge you to carefully read this prospectus supplement and the accompanying prospectus, together with the information incorporated by reference as described under “Where You Can Find More Information” and “Incorporation of Certain Information by Reference” in this prospectus supplement. These documents contain important information that you should consider when making your investment decision.</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and also adds to, updates and changes information contained in the accompanying prospectus and the documents incorporated by reference. The second part is the accompanying prospectus, which gives more general information. To the extent the information contained in this prospectus supplement differs from or conflicts with the information contained in the accompanying prospectus or any document incorporated by reference, the information in this prospectus supplement will control. If any statement in one of these documents is inconsistent with a statement in another document having a later date — for example, a document incorporated by reference into this prospectus supplement or the accompanying prospectus — the statement in the document having the later date modifies or supersedes the earlier statement.</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Neither we nor TD Cowen have authorized anyone to provide you with information different from that which is contained in or incorporated by reference in this prospectus supplement, the accompanying prospectus and in any free writing prospectus that we have authorized for use in connection with this offering. No one is making offers to sell or seeking offers to buy these securities in any jurisdiction where the offer or sale is not permitted. You should assume that the information contained in this prospectus supplement is accurate as of the date on the front cover of this prospectus supplement only and that any information we have incorporated by reference or included in the accompanying prospectus is accurate only as of the date given in the document incorporated by reference or as of the date of the prospectus, as applicable, regardless of the time of delivery of this prospectus supplement, the accompanying prospectus, any related free writing prospectus, or any sale of our securities. Our business, financial condition, results of operations and prospects may have changed since that date.</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supplement and the accompanying prospectus to “vTv,” “the company,” “we,” “us” and “our” refer to vTv Therapeutics Inc.</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the registration statement on Form S-3 we filed with the Securities and Exchange Commission, or the SEC, under the Securities Act of 1933, as amended, or the Securities Act, and do not contain all the information set forth in the registration statement. Whenever a reference is made in this prospectus supplement or the accompanying prospectus to any of our contracts, agreements or other documents, the reference may not be complete and you should refer to the exhibits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that are a part of the registration statement or the exhibits to the reports or other documents incorporated by reference in this prospectus supplement and the accompanying prospectus for a copy of such contract, agreement or other document. Because we are subject to the information and reporting requirements of the Securities Exchange Act of 1934, as amended, or the Exchange Act, we file annual, quarterly and current reports, proxy statements and other information with the SEC. Our SEC filings are available to the public over the internet at the SEC’s website at http://www.sec.gov. Our SEC filings are also available free of charge on or through our website at www.vtvtherapeutics.com, as soon as reasonably practicable after we electronically file such material with or otherwise furnish it to the SEC. The information on, or accessible through, our website is not part of, and is not incorporated into, this prospectus supplement or the accompanying prospectus and should not be considered part of this prospectus supplement or the accompanying prospectus.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this prospectus supplement, we “incorporate by reference” certain information that we file with the SEC, which means that we can disclose important information to you by referring you to that information. The information we incorporate by reference is an important part of this prospectus supplement, and later information that we file with the SEC will automatically update and supersede this information. The following documents have been filed by us with the SEC and are incorporated by reference into this prospectus supplement:</w:t>
      </w:r>
    </w:p>
    <w:p>
      <w:pPr>
        <w:spacing w:after="0" w:line="85"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10, 2026;</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fiscal year ended December 31, 2025 from our </w:t>
      </w:r>
      <w:hyperlink r:id="rId18">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filed with the SEC on April 28, 2026;</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13,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0">
        <w:r>
          <w:rPr>
            <w:rFonts w:ascii="Times New Roman" w:cs="Times New Roman" w:eastAsia="Times New Roman" w:hAnsi="Times New Roman"/>
            <w:sz w:val="18"/>
            <w:szCs w:val="18"/>
            <w:u w:val="single" w:color="auto"/>
            <w:color w:val="0000EE"/>
          </w:rPr>
          <w:t>February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May 13, 2026</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9" w:lineRule="auto"/>
        <w:tabs>
          <w:tab w:leader="none" w:pos="10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Class A common stock set forth in our registration statement filed on </w:t>
      </w:r>
      <w:hyperlink r:id="rId22">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pursuant to Section 12 of the Exchange Act with the SEC on July 30, 2015, as updated by “Description of Capital Stock” filed as </w:t>
      </w:r>
      <w:hyperlink r:id="rId23">
        <w:r>
          <w:rPr>
            <w:rFonts w:ascii="Times New Roman" w:cs="Times New Roman" w:eastAsia="Times New Roman" w:hAnsi="Times New Roman"/>
            <w:sz w:val="17"/>
            <w:szCs w:val="17"/>
            <w:u w:val="single" w:color="auto"/>
            <w:color w:val="0000EE"/>
          </w:rPr>
          <w:t>Exhibit 4.6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our Annual Report on Form 10-K for the fiscal year ended December 31, 2025, and any amendment or report filed for the purpose of updating that description.</w:t>
      </w:r>
    </w:p>
    <w:p>
      <w:pPr>
        <w:spacing w:after="0" w:line="158" w:lineRule="exact"/>
        <w:rPr>
          <w:rFonts w:ascii="Times New Roman" w:cs="Times New Roman" w:eastAsia="Times New Roman" w:hAnsi="Times New Roman"/>
          <w:sz w:val="17"/>
          <w:szCs w:val="17"/>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All documents and reports that we file with the SEC (but excluding any information furnished to, rather than filed with, the Commission) under Sections 13(a), 13(c), 14 or 15(d) of the Exchange Act from the date of this prospectus supplement until the completion of the offering under this prospectus supplement shall be deemed to be incorporated in this prospectus supplement by reference. The information contained on or accessible through our website (http://www.vtvtherapeutics.com) is not incorporated into this prospectus supplement.</w:t>
      </w:r>
    </w:p>
    <w:p>
      <w:pPr>
        <w:spacing w:after="0" w:line="180" w:lineRule="exact"/>
        <w:rPr>
          <w:rFonts w:ascii="Times New Roman" w:cs="Times New Roman" w:eastAsia="Times New Roman" w:hAnsi="Times New Roman"/>
          <w:sz w:val="17"/>
          <w:szCs w:val="17"/>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will furnish without charge to you, upon written or oral request, a copy of any or all of the documents incorporated by reference, including exhibits to these documents. You should direct any requests for documents to:</w:t>
      </w:r>
    </w:p>
    <w:p>
      <w:pPr>
        <w:spacing w:after="0" w:line="162" w:lineRule="exact"/>
        <w:rPr>
          <w:rFonts w:ascii="Times New Roman" w:cs="Times New Roman" w:eastAsia="Times New Roman" w:hAnsi="Times New Roman"/>
          <w:sz w:val="17"/>
          <w:szCs w:val="17"/>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vTv Therapeutics Inc.</w:t>
      </w:r>
    </w:p>
    <w:p>
      <w:pPr>
        <w:spacing w:after="0" w:line="27" w:lineRule="exact"/>
        <w:rPr>
          <w:rFonts w:ascii="Times New Roman" w:cs="Times New Roman" w:eastAsia="Times New Roman" w:hAnsi="Times New Roman"/>
          <w:sz w:val="17"/>
          <w:szCs w:val="17"/>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rFonts w:ascii="Times New Roman" w:cs="Times New Roman" w:eastAsia="Times New Roman" w:hAnsi="Times New Roman"/>
          <w:sz w:val="17"/>
          <w:szCs w:val="17"/>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3980 Premier Drive, Suite 110</w:t>
      </w:r>
    </w:p>
    <w:p>
      <w:pPr>
        <w:spacing w:after="0" w:line="9" w:lineRule="exact"/>
        <w:rPr>
          <w:rFonts w:ascii="Times New Roman" w:cs="Times New Roman" w:eastAsia="Times New Roman" w:hAnsi="Times New Roman"/>
          <w:sz w:val="17"/>
          <w:szCs w:val="17"/>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High Point, NC 27265</w:t>
      </w:r>
    </w:p>
    <w:p>
      <w:pPr>
        <w:spacing w:after="0" w:line="9" w:lineRule="exact"/>
        <w:rPr>
          <w:rFonts w:ascii="Times New Roman" w:cs="Times New Roman" w:eastAsia="Times New Roman" w:hAnsi="Times New Roman"/>
          <w:sz w:val="17"/>
          <w:szCs w:val="17"/>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Telephone: (336) 841-0300</w:t>
      </w:r>
    </w:p>
    <w:p>
      <w:pPr>
        <w:spacing w:after="0" w:line="207" w:lineRule="exact"/>
        <w:rPr>
          <w:rFonts w:ascii="Times New Roman" w:cs="Times New Roman" w:eastAsia="Times New Roman" w:hAnsi="Times New Roman"/>
          <w:sz w:val="17"/>
          <w:szCs w:val="17"/>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supplement will be deemed to be modified or superseded for purposes of this prospectus supplement to the extent that a statement contained in this prospectus supplement or any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116" w:lineRule="exact"/>
        <w:rPr>
          <w:rFonts w:ascii="Times New Roman" w:cs="Times New Roman" w:eastAsia="Times New Roman" w:hAnsi="Times New Roman"/>
          <w:sz w:val="17"/>
          <w:szCs w:val="17"/>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that we incorporate by reference herein and therein, contain statements that are not strictly historical in nature and are forward-looking statements within the meaning of Section 27A of the Securities Act of 1933, as amended, or the Securities Act, and within the meaning of Section 21E of the Securities Exchange Act of 1934, as amended, or the Exchange Act. These forward-looking statements are subject to the “safe harbor” created by Section 27A of the Securities Act and Section 21E of the Exchange Act and may include, but are not limited to, statements about:</w:t>
      </w:r>
    </w:p>
    <w:p>
      <w:pPr>
        <w:spacing w:after="0" w:line="89" w:lineRule="exact"/>
        <w:rPr>
          <w:sz w:val="20"/>
          <w:szCs w:val="20"/>
          <w:color w:val="auto"/>
        </w:rPr>
      </w:pPr>
    </w:p>
    <w:p>
      <w:pPr>
        <w:ind w:left="1080" w:right="2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market, commercialize and achieve market acceptance for any of our product candidates or therapies that we may develop;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for future performance;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anticipated operating losses, future revenues, capital requirements, liquidity, and our needs for additional financing;</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or success of our research, development and clinical programs, including the application for and receipt of regulatory clearances and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operate our business without infringing upon the intellectual property rights of others;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our partnerships with third parties that help develop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products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studies and the conclusions we draw from them;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proceeds from this offering, if any.</w:t>
      </w:r>
    </w:p>
    <w:p>
      <w:pPr>
        <w:spacing w:after="0" w:line="225"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“anticipates,” “believes,” “could,” “estimates,” “expects,” “goal,” “intends,” “may,” “outlook,” “plans,” “potential,” “predicts,” “projects,” “should,”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Given these risks and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this prospectus supplement, in the accompanying prospectus, in our 2025 Annual Report and in our other filings with the SEC. These forward-looking statements represent our estimates and assumptions only as of the date of the document containing the applicable statement.</w:t>
      </w:r>
    </w:p>
    <w:p>
      <w:pPr>
        <w:spacing w:after="0" w:line="1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You should understand that our actual future results may be materially different from what we expect. We qualify all of the forward-looking statements in the foregoing documents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in this offering, you should carefully consider the risk factors discussed or incorporated by reference herein, in addition to the other information set forth in this prospectus supplement, the accompanying prospectus and in the documents incorporated by reference.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does not contain all the information that you should consider before investing in the securities offered by this prospectus supplement. Before making an investment decision, you should carefully read the entire prospectus supplement and the accompanying prospectus, including the “Risk Factors” sections, as well as the financial statements and the other information incorporated by reference herein and the information in any free writing prospectus that we may authorize for use in connection with this offering.</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 xml:space="preserve">We are a late-stage biopharmaceutical company focused on developing orally administered therapies for metabolic and inflammatory diseases with the goal of improving patient outcomes. Our lead product candidate,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is a novel, small-molecule, liver-selective glucokinase activator currently being evaluated in a Phase 3 clinical trial as a potential oral adjunctive therapy to insulin for the treatment of type 1 diabetes (T1D). The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as Adjunctive Therapy to Insulin in Participants with Type 1 Diabetes (“CATT1”) Phase 3 clinical trial is a randomized, double-blind, placebo-controlled trial designed to evaluate the effect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on hypoglycemia outcomes in patients with T1D. The primary endpoint is the reduction in the frequency of Level 2 hypoglycemia (blood glucose &lt;54 mg/dL) and Level 3 (severe) hypoglycemia over a six-month treatment period. A key secondary endpoint is change in hemoglobin A1c (“HbA1c”), a standard measure of glycemic control, to assess </w:t>
      </w:r>
      <w:r>
        <w:rPr>
          <w:rFonts w:ascii="Times New Roman" w:cs="Times New Roman" w:eastAsia="Times New Roman" w:hAnsi="Times New Roman"/>
          <w:sz w:val="18"/>
          <w:szCs w:val="18"/>
          <w:i w:val="1"/>
          <w:iCs w:val="1"/>
          <w:color w:val="auto"/>
        </w:rPr>
        <w:t xml:space="preserve">cadisegliatin’s </w:t>
      </w:r>
      <w:r>
        <w:rPr>
          <w:rFonts w:ascii="Times New Roman" w:cs="Times New Roman" w:eastAsia="Times New Roman" w:hAnsi="Times New Roman"/>
          <w:sz w:val="18"/>
          <w:szCs w:val="18"/>
          <w:color w:val="auto"/>
        </w:rPr>
        <w:t>potential to reduce hyperglycemia. The CATT1 trial will randomize 150 patients with T1D on a 1:1:1 basis (50 patients per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arm) to receive 800 mg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daily, 800 mg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twice daily, or placebo.</w:t>
      </w:r>
    </w:p>
    <w:p>
      <w:pPr>
        <w:spacing w:after="0" w:line="186"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 xml:space="preserve">In 2021, the FDA granted Breakthrough Therapy designation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as an adjunctive therapy to insulin for the treatment of T1D. Breakthrough Therapy designation is a process designed to expedite the development and review of drugs that are intended to treat a serious condition and preliminary clinical evidence indicates that the drug may demonstrate substantial improvement over available therapy on a clinically significant endpoint(s). The Breakthrough Therapy designation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T1D was supported by the positive results from the Phase 2 SimpliciT-1 Study, a multi-center, randomized, double-blind, adaptive study assessing the safety and efficacy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as an adjunct to insulin therapy in adults with T1D. In this trial, treatment with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resulted in a clinically meaningful decrease (40%) in the frequency of severe and symptomatic hypoglycemia and in a statistically significant improvement in HbA1c relative to placebo.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demonstrated a favorable safety profile, in which abnormal levels of serum or urine ketones were detected less frequently in patients taking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than those taking placebo.</w:t>
      </w:r>
    </w:p>
    <w:p>
      <w:pPr>
        <w:spacing w:after="0" w:line="188"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 xml:space="preserve">A Phase 1 mechanistic study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patients with T1D showed no increased risk of ketoacidosis with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during acute insulin withdrawal in patients. Additionally, a Phase 1 study in healthy male subjects to investigate the absorption, metabolism, and excretion of [14C]-</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following single dose oral administration (the “ADME study”) was conducted. The ADME study results were consistent with expectations from prior research but also included a radiochromatographic signal that, at the time, could not be further characterized, which led the FDA to impose a clinical hold on the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development program in July 2024. Based upon extensive testing by two independent laboratories, the Company determined that the radiochromatographic signal was an experimental artifact (duplicate peak) of a known metabolite. As a result, the FDA lifted the clinical hold in March 2025, allowing the Company to resume its clinical development plan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300" w:right="380" w:firstLine="426"/>
        <w:spacing w:after="0" w:line="266" w:lineRule="auto"/>
        <w:rPr>
          <w:sz w:val="20"/>
          <w:szCs w:val="20"/>
          <w:color w:val="auto"/>
        </w:rPr>
      </w:pPr>
      <w:r>
        <w:rPr>
          <w:rFonts w:ascii="Times New Roman" w:cs="Times New Roman" w:eastAsia="Times New Roman" w:hAnsi="Times New Roman"/>
          <w:sz w:val="18"/>
          <w:szCs w:val="18"/>
          <w:color w:val="auto"/>
        </w:rPr>
        <w:t xml:space="preserve">In 2025, we completed a food effect study in healthy volunteers that investigated the effect of fasting, low fat, and high fat meals on the absorption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The results of the food effect study confirmed the current recommendation in the CATT1 trial that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be taken with food to maximize its absorption.</w:t>
      </w:r>
    </w:p>
    <w:p>
      <w:pPr>
        <w:spacing w:after="0" w:line="176"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 filings incorporated by reference in this prospectus supplement, see “Where You Can Find More Information.”</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8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6998970" cy="578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Our principal executive office is located at 3980 Premier Drive, Suite 110, High Point, NC 27265, Telephone (336) 841-0300.</w:t>
      </w:r>
    </w:p>
    <w:p>
      <w:pPr>
        <w:spacing w:after="0" w:line="3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139"/>
          </w:cols>
          <w:pgMar w:left="320" w:top="45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61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230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vTv Therapeutics Inc.</w:t>
      </w:r>
    </w:p>
    <w:p>
      <w:pPr>
        <w:spacing w:after="0" w:line="117" w:lineRule="exact"/>
        <w:rPr>
          <w:sz w:val="20"/>
          <w:szCs w:val="20"/>
          <w:color w:val="auto"/>
        </w:rPr>
      </w:pPr>
    </w:p>
    <w:p>
      <w:pPr>
        <w:ind w:left="300"/>
        <w:spacing w:after="0"/>
        <w:tabs>
          <w:tab w:leader="none" w:pos="230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17"/>
          <w:szCs w:val="17"/>
          <w:color w:val="auto"/>
        </w:rPr>
        <w:t>Shares of our Class A common stock having an aggregate offering price of up to $47,500,000.</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offered by us</w:t>
      </w:r>
    </w:p>
    <w:p>
      <w:pPr>
        <w:sectPr>
          <w:pgSz w:w="11900" w:h="16838" w:orient="portrait"/>
          <w:cols w:equalWidth="0" w:num="1">
            <w:col w:w="10900"/>
          </w:cols>
          <w:pgMar w:left="320" w:top="455" w:right="679" w:bottom="1440" w:gutter="0" w:footer="0" w:header="0"/>
        </w:sectPr>
      </w:pPr>
    </w:p>
    <w:p>
      <w:pPr>
        <w:spacing w:after="0" w:line="99" w:lineRule="exact"/>
        <w:rPr>
          <w:sz w:val="20"/>
          <w:szCs w:val="20"/>
          <w:color w:val="auto"/>
        </w:rPr>
      </w:pPr>
    </w:p>
    <w:p>
      <w:pPr>
        <w:ind w:left="300"/>
        <w:spacing w:after="0" w:line="289" w:lineRule="auto"/>
        <w:rPr>
          <w:sz w:val="20"/>
          <w:szCs w:val="20"/>
          <w:color w:val="auto"/>
        </w:rPr>
      </w:pPr>
      <w:r>
        <w:rPr>
          <w:rFonts w:ascii="Times New Roman" w:cs="Times New Roman" w:eastAsia="Times New Roman" w:hAnsi="Times New Roman"/>
          <w:sz w:val="17"/>
          <w:szCs w:val="17"/>
          <w:color w:val="auto"/>
        </w:rPr>
        <w:t>Class A common stock to be outstanding following this offering</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 to 5,498,076 shares of Class A common stock, assuming sales of 1,559,422 shares of Class A common stock in this offering at an offering price of $30.46 per share, which was the last reported sale price of our Class A common stock on The Nasdaq Capital Market on May 11, 2026. The actual number of shares issued will vary depending on the sales price under this offering.</w:t>
      </w:r>
    </w:p>
    <w:p>
      <w:pPr>
        <w:spacing w:after="0" w:line="72" w:lineRule="exact"/>
        <w:rPr>
          <w:sz w:val="20"/>
          <w:szCs w:val="20"/>
          <w:color w:val="auto"/>
        </w:rPr>
      </w:pPr>
    </w:p>
    <w:p>
      <w:pPr>
        <w:sectPr>
          <w:pgSz w:w="11900" w:h="16838" w:orient="portrait"/>
          <w:cols w:equalWidth="0" w:num="2">
            <w:col w:w="1960" w:space="360"/>
            <w:col w:w="8580"/>
          </w:cols>
          <w:pgMar w:left="320" w:top="455" w:right="679" w:bottom="1440" w:gutter="0" w:footer="0" w:header="0"/>
          <w:type w:val="continuous"/>
        </w:sectPr>
      </w:pPr>
    </w:p>
    <w:p>
      <w:pPr>
        <w:ind w:left="300"/>
        <w:spacing w:after="0"/>
        <w:tabs>
          <w:tab w:leader="none" w:pos="2300" w:val="left"/>
        </w:tabs>
        <w:rPr>
          <w:sz w:val="20"/>
          <w:szCs w:val="20"/>
          <w:color w:val="auto"/>
        </w:rPr>
      </w:pPr>
      <w:r>
        <w:rPr>
          <w:rFonts w:ascii="Times New Roman" w:cs="Times New Roman" w:eastAsia="Times New Roman" w:hAnsi="Times New Roman"/>
          <w:sz w:val="18"/>
          <w:szCs w:val="18"/>
          <w:color w:val="auto"/>
        </w:rPr>
        <w:t>Manner of offering</w:t>
      </w:r>
      <w:r>
        <w:rPr>
          <w:sz w:val="20"/>
          <w:szCs w:val="20"/>
          <w:color w:val="auto"/>
        </w:rPr>
        <w:tab/>
      </w:r>
      <w:r>
        <w:rPr>
          <w:rFonts w:ascii="Times New Roman" w:cs="Times New Roman" w:eastAsia="Times New Roman" w:hAnsi="Times New Roman"/>
          <w:sz w:val="18"/>
          <w:szCs w:val="18"/>
          <w:color w:val="auto"/>
        </w:rPr>
        <w:t>“At the market offering” that may be made from time to time through or to TD Cowen, as sales agent or principal. See</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“Plan of Distribution” on page S-11 of this prospectus supplement.</w:t>
      </w:r>
    </w:p>
    <w:p>
      <w:pPr>
        <w:spacing w:after="0" w:line="99" w:lineRule="exact"/>
        <w:rPr>
          <w:sz w:val="20"/>
          <w:szCs w:val="20"/>
          <w:color w:val="auto"/>
        </w:rPr>
      </w:pPr>
    </w:p>
    <w:p>
      <w:pPr>
        <w:ind w:left="300"/>
        <w:spacing w:after="0"/>
        <w:tabs>
          <w:tab w:leader="none" w:pos="23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intend to use the net proceeds from this offering for general corporate purposes, including manufacturing expenses,</w:t>
      </w:r>
    </w:p>
    <w:p>
      <w:pPr>
        <w:spacing w:after="0" w:line="27" w:lineRule="exact"/>
        <w:rPr>
          <w:sz w:val="20"/>
          <w:szCs w:val="20"/>
          <w:color w:val="auto"/>
        </w:rPr>
      </w:pPr>
    </w:p>
    <w:p>
      <w:pPr>
        <w:ind w:left="2320" w:right="200"/>
        <w:spacing w:after="0" w:line="255" w:lineRule="auto"/>
        <w:rPr>
          <w:sz w:val="20"/>
          <w:szCs w:val="20"/>
          <w:color w:val="auto"/>
        </w:rPr>
      </w:pPr>
      <w:r>
        <w:rPr>
          <w:rFonts w:ascii="Times New Roman" w:cs="Times New Roman" w:eastAsia="Times New Roman" w:hAnsi="Times New Roman"/>
          <w:sz w:val="18"/>
          <w:szCs w:val="18"/>
          <w:color w:val="auto"/>
        </w:rPr>
        <w:t>clinical trial expenses, research and development expenses, general and administrative expenses, and other expenses associated with the development of our drug candidates. See “Use of Proceeds” on page S-8 of this prospectus supplement.</w:t>
      </w:r>
    </w:p>
    <w:p>
      <w:pPr>
        <w:spacing w:after="0" w:line="78" w:lineRule="exact"/>
        <w:rPr>
          <w:sz w:val="20"/>
          <w:szCs w:val="20"/>
          <w:color w:val="auto"/>
        </w:rPr>
      </w:pPr>
    </w:p>
    <w:p>
      <w:pPr>
        <w:ind w:left="300"/>
        <w:spacing w:after="0"/>
        <w:tabs>
          <w:tab w:leader="none" w:pos="230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Investing in our securities involves a high degree of risk. See “Risk Factors” beginning on page S-5 of this prospectus</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supplement and in the documents incorporated by reference herein.</w:t>
      </w:r>
    </w:p>
    <w:p>
      <w:pPr>
        <w:spacing w:after="0" w:line="99" w:lineRule="exact"/>
        <w:rPr>
          <w:sz w:val="20"/>
          <w:szCs w:val="20"/>
          <w:color w:val="auto"/>
        </w:rPr>
      </w:pPr>
    </w:p>
    <w:p>
      <w:pPr>
        <w:ind w:left="300"/>
        <w:spacing w:after="0"/>
        <w:tabs>
          <w:tab w:leader="none" w:pos="2300" w:val="left"/>
        </w:tabs>
        <w:rPr>
          <w:sz w:val="20"/>
          <w:szCs w:val="20"/>
          <w:color w:val="auto"/>
        </w:rPr>
      </w:pPr>
      <w:r>
        <w:rPr>
          <w:rFonts w:ascii="Times New Roman" w:cs="Times New Roman" w:eastAsia="Times New Roman" w:hAnsi="Times New Roman"/>
          <w:sz w:val="18"/>
          <w:szCs w:val="18"/>
          <w:color w:val="auto"/>
        </w:rPr>
        <w:t>Nasdaq Capital Market</w:t>
      </w:r>
      <w:r>
        <w:rPr>
          <w:sz w:val="20"/>
          <w:szCs w:val="20"/>
          <w:color w:val="auto"/>
        </w:rPr>
        <w:tab/>
      </w:r>
      <w:r>
        <w:rPr>
          <w:rFonts w:ascii="Times New Roman" w:cs="Times New Roman" w:eastAsia="Times New Roman" w:hAnsi="Times New Roman"/>
          <w:sz w:val="17"/>
          <w:szCs w:val="17"/>
          <w:color w:val="auto"/>
        </w:rPr>
        <w:t>“VTVT.”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symbol</w:t>
      </w:r>
    </w:p>
    <w:p>
      <w:pPr>
        <w:spacing w:after="0" w:line="207"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immediately after this offering is based on 3,938,654 shares of our Class A common stock outstanding as of March 31, 2026. Unless otherwise indicated, the number of shares of Class A common stock presented in this prospectus supplement excludes:</w:t>
      </w:r>
    </w:p>
    <w:p>
      <w:pPr>
        <w:spacing w:after="0" w:line="81" w:lineRule="exact"/>
        <w:rPr>
          <w:sz w:val="20"/>
          <w:szCs w:val="20"/>
          <w:color w:val="auto"/>
        </w:rPr>
      </w:pPr>
    </w:p>
    <w:p>
      <w:pPr>
        <w:ind w:left="1240" w:right="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 shares of Class B common stock issued and outstanding as of March 31, 2026, which are exchangeable on a one-for-one basis for shares of Class A common stock;</w:t>
      </w:r>
    </w:p>
    <w:p>
      <w:pPr>
        <w:spacing w:after="0" w:line="67" w:lineRule="exact"/>
        <w:rPr>
          <w:rFonts w:ascii="Times New Roman" w:cs="Times New Roman" w:eastAsia="Times New Roman" w:hAnsi="Times New Roman"/>
          <w:sz w:val="18"/>
          <w:szCs w:val="18"/>
          <w:color w:val="auto"/>
        </w:rPr>
      </w:pPr>
    </w:p>
    <w:p>
      <w:pPr>
        <w:ind w:left="1240" w:right="280" w:hanging="415"/>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19,160 shares of Class A common stock issuable upon the exercise of outstanding warrants issued pursuant to certain letter agreements between vTv and MacAndrews &amp; Forbes Group, LLC, dated December 5, 2017 (as amended on October 26, 2018), July 30, 2018 (as amended on October 26, 2018), December 11, 2018, September 26, 2019, and December 23, 2019, with exercise prices between $67.20 and $73.60 per share;</w:t>
      </w:r>
    </w:p>
    <w:p>
      <w:pPr>
        <w:spacing w:after="0" w:line="85"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shares of Class A common stock issuable upon the exercise of outstanding warrants held by CinRx Pharma, LLC, with an exercise price of $28.80 per share;</w:t>
      </w:r>
    </w:p>
    <w:p>
      <w:pPr>
        <w:spacing w:after="0" w:line="67"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1,499,964 shares of Class A common stock issuable upon the exercise of outstanding options in the aggregate under our 2015 Omnibus Equity Incentive Plan, our 2024 Equity Incentive Plan and inducement award agreements with certain current and former employees, with a weighted average exercise price of $29.14 per share;</w:t>
      </w:r>
    </w:p>
    <w:p>
      <w:pPr>
        <w:spacing w:after="0" w:line="81" w:lineRule="exact"/>
        <w:rPr>
          <w:rFonts w:ascii="Times New Roman" w:cs="Times New Roman" w:eastAsia="Times New Roman" w:hAnsi="Times New Roman"/>
          <w:sz w:val="18"/>
          <w:szCs w:val="18"/>
          <w:color w:val="auto"/>
        </w:rPr>
      </w:pPr>
    </w:p>
    <w:p>
      <w:pPr>
        <w:ind w:left="1240" w:right="120" w:hanging="415"/>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13,714,356 shares of Class A common stock issuable upon the exercise of outstanding equity-classified warrants, comprising 8,470,624 Pre-Funded Warrants with an exercise price of $0.01 per share and 5,243,732 Common Warrants with an exercise price of $22.71 per share if exercised for a share of Class A common stock or $22.70 per share if exercised for a Pre-Funded Warrant to purchase a share of Class A common stock;</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00"/>
          </w:cols>
          <w:pgMar w:left="320" w:top="455" w:right="6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723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6998970" cy="7239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289,419 shares of Class A common stock reserved for issuance under our 2024 Equity Incentive Plan, which initially authorized up to an additional 750,000 shares of Class A common stock, subject to automatic annual increases;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206,500 shares of Class A common stock reserved for issuance under our 2026 Equity Inducement Plan.</w:t>
      </w:r>
    </w:p>
    <w:p>
      <w:pPr>
        <w:spacing w:after="0" w:line="34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60"/>
          </w:cols>
          <w:pgMar w:left="320" w:top="455" w:right="7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described below and discussed under the section captioned “Risk Factors” contained in our 2025 Annual Report, as well as any amendment or update to our risk factors reflected in subsequent filings with the SEC, which are incorporated by reference in this prospectus supplement, and all other information contained in this prospectus supplement and the accompanying prospectus and incorporated by reference in this prospectus supplement and the accompanying prospectus, and in any free writing prospectus that we have authorized for use in connection with this offering, before purchasing shares of our Class A common stock. These risks and uncertainties are not the only ones facing us. Additional risks and uncertainties that we are unaware of, or that we currently deem immaterial, also may become important factors that affect us. If any of such risks or the risks described below or in our SEC filings occur, our business, financial condition or results of operations could be materially and adversely affected. In that case, the trading price of our Class A common stock could decline, and you may lose some or all of your investment.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proceeds from this offering, and we may not use the proceeds effectively.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the offering. Our management may use the net proceeds for corporate purposes that may not improve our financial condition or market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the Class A common stock you purchase.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Class A common stock outstanding prior to this offering. Assuming that an aggregate 1,559,422 shares of our Class A common stock are sold at a price of $30.46 per share pursuant to this prospectus supplement, which was the last reported sale price of our Class A common stock on The Nasdaq Capital Market on May 11, 2026, for aggregate gross proceeds of $47.5 million, after deducting commissions and estimated aggregate offering expenses payable by us, you would experience immediate dilution of $5.73 per share, representing the difference between our as adjusted pro forma net tangible book value per share as of March 31, 2026 after giving effect to this offering and the assumed offering price.</w:t>
      </w:r>
    </w:p>
    <w:p>
      <w:pPr>
        <w:spacing w:after="0" w:line="29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further dilution if existing stock options or pre-funded warrants are exercised, or if we issue additional equity securities in future financing transactions.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Class A common stock or other securities convertible into or exchangeable for our Class A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a significant number of stock options and pre-funded warrants outstanding. To the extent that these have been or may be exercised, investors purchasing in this offering may experience further dilution. In addition, the sale of shares in this offering and any future sales of a substantial number of shares of our Class A common stock in the public market, or the perception that such sales may occur, could adversely affect the price of our Class A common stock. We cannot predict the effect, if any, that market sales of those shares of Class A common stock, or the perception that those shares may be sold, will have on the market price of our Class A common stock.</w:t>
      </w:r>
    </w:p>
    <w:p>
      <w:pPr>
        <w:spacing w:after="0" w:line="28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sell shares of our Class A common stock in “at the market offerings” and investors who buy shares of our Class A common stock at different times will likely pay different prices.</w:t>
      </w:r>
    </w:p>
    <w:p>
      <w:pPr>
        <w:spacing w:after="0" w:line="5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Investors who purchase shares of our Class A common stock in this offering at different times will likely pay different prices and may experience different outcomes in their investment results. We will have discretion, subject to the effect of market conditions, to vary the timing, prices, and numbers of shares sold in this offering. Investors may experience a decline in the value of their shares of our Class A common stock. Many factors could have an impact on the market price of our Class A common stock, including the factors described herein and in the accompanying prospectus and those disclosed under “Risk Factors” in our 2025 Annual Report as updated in subsequent reports filed with the SEC.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in the foreseeable future.</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past, we have not paid dividends on our Class A common stock. We do not currently intend to pay dividends on our Class A common stock and we intend to retain our future earnings, if any, to fund the development and growth of our business. In addition, the terms of certain existing and any future debt agreements may preclude us from paying dividends. As a result, capital appreciation, if any, of our Class A common stock may be your sole source of gain for the foreseeable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which could subject us to securities class action litigation and result in substantial losses for our stockholders.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Class A common stock could be subject to wide fluctuations in response to many risk factors listed in this section and in the documents incorporated by reference herein, and others beyond our control, including:</w:t>
      </w:r>
    </w:p>
    <w:p>
      <w:pPr>
        <w:spacing w:after="0" w:line="67" w:lineRule="exact"/>
        <w:rPr>
          <w:sz w:val="20"/>
          <w:szCs w:val="20"/>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our clinical trials and receipt of data from the trials;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cash or financing to continue our clinical trials and other operations;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research programs;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or commercialization of our potential products;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competitors’ operating results or changes in their growth rate;</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32" w:lineRule="exact"/>
        <w:rPr>
          <w:sz w:val="20"/>
          <w:szCs w:val="20"/>
          <w:color w:val="auto"/>
        </w:rPr>
      </w:pPr>
    </w:p>
    <w:p>
      <w:pPr>
        <w:ind w:left="460" w:hanging="344"/>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117" w:lineRule="exact"/>
        <w:rPr>
          <w:rFonts w:ascii="Times New Roman" w:cs="Times New Roman" w:eastAsia="Times New Roman" w:hAnsi="Times New Roman"/>
          <w:sz w:val="18"/>
          <w:szCs w:val="18"/>
          <w:color w:val="auto"/>
        </w:rPr>
      </w:pPr>
    </w:p>
    <w:p>
      <w:pPr>
        <w:ind w:left="460" w:right="500" w:hanging="344"/>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maintain, defend or enforce proprietary rights relating to our products and technologies;</w:t>
      </w:r>
    </w:p>
    <w:p>
      <w:pPr>
        <w:spacing w:after="0" w:line="53"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potential products;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potential products;</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for biopharmaceutical stocks in general;</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117"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Nasdaq listing requirements.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Class A common stock at or above the price at which they purchased their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at any one time or in total, is uncertain.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TD Cowen at any time throughout the term of the sales agreement. The number of shares that are sold through TD Cowen under the sales agreement will fluctuate based on the market price of the shares of common stock during the sales period and limits we set with TD Cowen. Because the price of each share sold will fluctuate based on the market price of our common stock during the sales period, it is not possible at this stage to predict the number of shares that will be ultimately issued or the gross proceeds that will be raised in connection with the sale of shares of common stock offered under this prospectus supplement.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Class A common stock having aggregate gross sales proceeds of up to $47,500,000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TD Cowen as a source of financing.</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including manufacturing expenses, clinical trial expenses, research and development expenses, general and administrative expenses, and other expenses associated with the development of our drug candidates and our other product candidates.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Specifically, we intend to use the net proceeds from this offering, together with our existing cash and cash equivalents, for the direct and indirect costs related to the development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working capital and general corporate purposes.</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have not determined the amounts we plan to spend on any of the areas listed above or the timing of these expenditures. As a result, our management will have broad discretion to allocate the net proceeds from this offering.</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20"/>
          </w:cols>
          <w:pgMar w:left="320" w:top="455" w:right="5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net tangible book value of our common stock as of March 31, 2026 was approximately $90.0 million, or approximately $22.84 per share of common stock based upon a total of 3,938,895 shares outstanding as of March 31, 2026, reflective of the combined outstanding 3,938,654 shares of Class A common stock and 241 shares of Class B common stock. Net tangible book value per share is equal to our total tangible assets, less our total liabilities, exclusive of the redeemable noncontrolling interest, divided by the total number of shares outstanding.</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giving effect to the sale by us of our Class A common stock in the aggregate amount of $47.5 million in this offering at an assumed offering price of $30.46 per share, which was the last reported sale price of our Class A common stock on The Nasdaq Capital Market on May 11, 2026, and after deducting commissions and estimated offering expenses payable by us, our as adjusted pro forma net tangible book value as of March 31, 2026 would have been approximately $136.0 million, or $24.73 per share of common stock. This amount represents an immediate increase in net tangible book value of $1.89 per share to existing stockholders and an immediate dilution of $5.73 per share to purchasers in this offering. The following table illustrates the dilution:</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30.46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as adjusted pro forma net tangible book value per share</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attributable to investors in this offering</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As adjusted pro forma net tangible book value per share as of March 31, 2026,</w:t>
            </w:r>
          </w:p>
        </w:tc>
        <w:tc>
          <w:tcPr>
            <w:tcW w:w="2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giving effect to this offering</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24.73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in this offering</w:t>
            </w:r>
          </w:p>
        </w:tc>
        <w:tc>
          <w:tcPr>
            <w:tcW w:w="104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1,559,422 shares of our Class A common stock are sold at a price of $30.46 per share, the last reported sale price of our Class A common stock on The Nasdaq Capital Market on May 11, 2026, for aggregate gross proceeds of $47.5 million. The shares sold in this offering, if any, will be sold from time to time at various prices. An increase of $1.00 per share in the price at which the shares are sold from the assumed offering price of $30.46 per share shown in the table above, assuming all of our Class A common stock in the aggregate amount of $47.5 million during the remaining term of the sales agreement with TD Cowen is sold at that price, would increase our as adjusted net tangible book value per share after the offering to $24.96 per share and would increase the dilution in net tangible book value per share to new investors to $6.50 per share, after deducting commissions and estimated aggregate offering expenses payable by us. A decrease of $1.00 per share in the price at which the shares are sold from the assumed offering price of $30.46 per share shown in the table above, assuming all of our Class A common stock in the aggregate amount of $47.5 million during the term of the sales agreement with TD Cowen is sold at that price, would increase our as adjusted net tangible book value per share after the offering to $24.50 per share and would decrease the dilution in net tangible book value per share to new investors to $4.96 per share, after deducting commissions and estimated aggregate offering expenses payable by us. This information is supplied for illustrative purposes only and may differ based on the actual offering price and the actual number of shares offered.</w:t>
      </w:r>
    </w:p>
    <w:p>
      <w:pPr>
        <w:spacing w:after="0" w:line="19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immediately after this offering is based on 3,938,654 shares of our Class A common stock outstanding as of March 31, 2026. Unless otherwise indicated, the number of shares of Class A common stock presented in this prospectus supplement excludes:</w:t>
      </w:r>
    </w:p>
    <w:p>
      <w:pPr>
        <w:spacing w:after="0" w:line="81" w:lineRule="exact"/>
        <w:rPr>
          <w:sz w:val="20"/>
          <w:szCs w:val="20"/>
          <w:color w:val="auto"/>
        </w:rPr>
      </w:pPr>
    </w:p>
    <w:p>
      <w:pPr>
        <w:ind w:left="1080" w:right="4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 shares of Class B common stock issued and outstanding as of March 31, 2026, which are exchangeable on a one-for-one basis for shares of Class A common stock;</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19,160 shares of Class A common stock issuable upon the exercise of outstanding warrants issued pursuant to certain letter agreements between vTv and MacAndrews &amp; Forbes Group, LLC, dated December 5, 2017 (as amended on October 26, 2018), July 30, 2018 (as amended on October 26, 2018), December 11, 2018, September 26, 2019, and December 23, 2019, with exercise prices between $67.20 and $73.60 per share;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shares of Class A common stock issuable upon the exercise of outstanding warrants held by CinRx Pharma, LLC, with an exercise price of $28.80 per share;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1,499,964 shares of Class A common stock issuable upon the exercise of outstanding options in the aggregate under our 2015 Omnibus Equity Incentive Plan, our 2024 Equity Incentive Plan and inducement award agreements with certain current and former employees, with a weighted average exercise price of $29.14 per share;</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13,714,356 shares of Class A common stock issuable upon the exercise of outstanding equity-classified warrants, comprising 8,470,624 Pre-Funded Warrants with an exercise price of $0.01 per share and 5,243,732 Common Warrants with an exercise price of $22.71 per share if exercised for a share of Class A common stock or $22.70 per share if exercised for a Pre-Funded Warrant to purchase a share of Class A common stock;</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289,419 shares of Class A common stock reserved for issuance under our 2024 Equity Incentive Plan, which initially authorized up to an additional 750,000 shares of Class A common stock, subject to automatic annual increases;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206,500 shares of Class A common stock reserved for issuance under our 2026 Equity Inducement Plan.</w:t>
      </w:r>
    </w:p>
    <w:p>
      <w:pPr>
        <w:spacing w:after="0" w:line="225"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other shares are issued,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those securities could result in further dilution to our stockholders.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previously entered into the sales agreement with TD Cowen, under which we may issue and sell from time to time up to $50.0 million of our common stock through or to TD Cowen as our sales agent or principal.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Nasdaq or on any other existing trading market for our common stock, or by any other method permitted by law. Sales pursuant to the sales agreement may be made through an affiliate of TD Cowen.</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replace and supersede in its entirety the previously filed prospectus dated April 29, 2024, relating to the offer and sale of our Class A common stock under the sales agreement having an aggregate offering price of up to $12,678,712, and no additional Class A common stock will be sold under the previously filed prospectus following the date of this prospectus supplement. Under this prospectus supplement, we may offer and sell our Class A common stock in accordance with the terms of the sales agreement having an aggregate offering price of up to $47,500,000 from time to time through or to TD Cowen, as agent or principal, which amount is in addition to the Class A common stock previously sold under the previously filed prospectus.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TD Cowen as sales agent equals 3.0% of the gross sales price of the shares sold through it pursuant to the sales agreement. In connection with entering into the sales agreement, we agreed to reimburse TD Cowen up to $75,000 of TD Cowen’s actual outside legal expenses incurred by TD Cowen in connection with this offering. We estimate that the total expenses of the offering payable by us, excluding commissions payable to TD Cowen under the sales agreement, will be approximately $100,000.</w:t>
      </w:r>
    </w:p>
    <w:p>
      <w:pPr>
        <w:spacing w:after="0" w:line="180"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62"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TD Cowen will provide written confirmation to us following the close of trading on The Nasdaq Capital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5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TD Cowen under the sales agreement and the net proceeds to us in connection with the sales of common stock.</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sales of our common stock on our behalf, TD Cowen may be deemed to be an “underwriter” within the meaning of the Securities Act, and the compensation paid to TD Cowen may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 our common stock.</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trades under the symbol “VTVT.” The transfer agent of our common stock is Equiniti Trust Company, LLC.</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TD Cowen and/or its affiliates have provided, and may in the future provide, various investment banking, commercial banking and other financial services for us and our affiliates for which they have received, and may in the future receive, customary fees. TD Cowen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TD Cowen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TD Cowen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offered securities will be passed upon for us by Dechert LLP, New York, New York. Certain legal matters will be passed upon for TD Cowen by Paul Hastings LLP, New York, New York.</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vTv Therapeutics Inc. appearing in vTv Therapeutics Inc.’s Annual Report (Form 10-K) for the year ended December 31, 2025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388620</wp:posOffset>
            </wp:positionV>
            <wp:extent cx="1320165" cy="1045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2016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vTv Therapeutics Inc.</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$250,000,000</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a general description of the securities that we may offer for sale with an aggregate offering price of up to $250,000,000 from time to time in one or more offerings. Each time we offer and sell any of the securities described in the prospectus, we will provide a supplement to this prospectus that contains specific information about the offering and the amounts, prices and terms of the securities offered. We may also offer securities as may be issuable upon conversion, redemption, repurchase, exchange or exercise of any securities registered hereunder, including any applicable anti-dilution provisions. Read this prospectus and any supplement carefully before you invest.</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“VTVT”. On April 9, 2024, the closing price of our Class A common stock on The Nasdaq Capital Market was $25.00 per share.</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under applicable Securities and Exchange Commission rules and are subject to reduced public company reporting requirements.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of March 21, 2024, our public float, which is equal to the aggregate market value of our outstanding voting and non-voting common stock held by non-affiliates, was approximately $38,036,139 million, based on 2,432,857 shares of outstanding Class A common stock, of which approximately 1,311,591 shares were held by non-affiliates, and a closing sale price of our Class A common stock of $29.00 on that date. Pursuant to General Instruction I.B.6 of Form S-3, in no event will we sell securities in a public primary offering with a value exceeding one-third of our public float in any 12-month period so long as our public float remains below $75.0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6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that are referenced under the caption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8 of this prospectus. You should carefully review the risks and uncertainties described under the heading “Risk Factors” contained in the applicable prospectus supplement and any related free writing prospectus, and under similar headings in the other documents that are incorporated by reference in this prospectus.</w:t>
      </w:r>
    </w:p>
    <w:p>
      <w:pPr>
        <w:spacing w:after="0" w:line="18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SECURITIES DESCRIBED IN THIS PROSPECTUS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7"/>
        </w:trPr>
        <w:tc>
          <w:tcPr>
            <w:tcW w:w="79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79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8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3"/>
          </w:tcPr>
          <w:p>
            <w:pPr>
              <w:spacing w:after="0"/>
              <w:rPr>
                <w:sz w:val="17"/>
                <w:szCs w:val="17"/>
                <w:color w:val="auto"/>
              </w:rPr>
            </w:pPr>
          </w:p>
        </w:tc>
        <w:tc>
          <w:tcPr>
            <w:tcW w:w="4180" w:type="dxa"/>
            <w:vAlign w:val="bottom"/>
            <w:gridSpan w:val="2"/>
          </w:tcPr>
          <w:p>
            <w:pPr>
              <w:spacing w:after="0"/>
              <w:rPr>
                <w:sz w:val="17"/>
                <w:szCs w:val="17"/>
                <w:color w:val="auto"/>
              </w:rPr>
            </w:pP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3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STATEMENTS REGARDING FORWARD-LOOKING INFORMATION</w:t>
            </w:r>
          </w:p>
        </w:tc>
        <w:tc>
          <w:tcPr>
            <w:tcW w:w="2660" w:type="dxa"/>
            <w:vAlign w:val="bottom"/>
          </w:tcPr>
          <w:p>
            <w:pPr>
              <w:spacing w:after="0"/>
              <w:rPr>
                <w:sz w:val="17"/>
                <w:szCs w:val="17"/>
                <w:color w:val="auto"/>
              </w:rPr>
            </w:pP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6700" w:type="dxa"/>
            <w:vAlign w:val="bottom"/>
            <w:gridSpan w:val="13"/>
          </w:tcPr>
          <w:p>
            <w:pPr>
              <w:spacing w:after="0"/>
              <w:rPr>
                <w:sz w:val="17"/>
                <w:szCs w:val="17"/>
                <w:color w:val="auto"/>
              </w:rPr>
            </w:pP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79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400" w:type="dxa"/>
            <w:vAlign w:val="bottom"/>
            <w:gridSpan w:val="11"/>
          </w:tcPr>
          <w:p>
            <w:pPr>
              <w:spacing w:after="0"/>
              <w:rPr>
                <w:sz w:val="17"/>
                <w:szCs w:val="17"/>
                <w:color w:val="auto"/>
              </w:rPr>
            </w:pP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79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3"/>
          </w:tcPr>
          <w:p>
            <w:pPr>
              <w:spacing w:after="0"/>
              <w:rPr>
                <w:sz w:val="17"/>
                <w:szCs w:val="17"/>
                <w:color w:val="auto"/>
              </w:rPr>
            </w:pP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00" w:type="dxa"/>
            <w:vAlign w:val="bottom"/>
            <w:gridSpan w:val="6"/>
          </w:tcPr>
          <w:p>
            <w:pPr>
              <w:spacing w:after="0"/>
              <w:rPr>
                <w:sz w:val="17"/>
                <w:szCs w:val="17"/>
                <w:color w:val="auto"/>
              </w:rPr>
            </w:pP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2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5840" w:type="dxa"/>
            <w:vAlign w:val="bottom"/>
            <w:gridSpan w:val="8"/>
          </w:tcPr>
          <w:p>
            <w:pPr>
              <w:spacing w:after="0"/>
              <w:rPr>
                <w:sz w:val="17"/>
                <w:szCs w:val="17"/>
                <w:color w:val="auto"/>
              </w:rPr>
            </w:pP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60" w:type="dxa"/>
            <w:vAlign w:val="bottom"/>
            <w:gridSpan w:val="10"/>
          </w:tcPr>
          <w:p>
            <w:pPr>
              <w:spacing w:after="0"/>
              <w:rPr>
                <w:sz w:val="17"/>
                <w:szCs w:val="17"/>
                <w:color w:val="auto"/>
              </w:rPr>
            </w:pP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79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5940" w:type="dxa"/>
            <w:vAlign w:val="bottom"/>
            <w:gridSpan w:val="9"/>
          </w:tcPr>
          <w:p>
            <w:pPr>
              <w:spacing w:after="0"/>
              <w:rPr>
                <w:sz w:val="17"/>
                <w:szCs w:val="17"/>
                <w:color w:val="auto"/>
              </w:rPr>
            </w:pP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79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500" w:firstLine="440"/>
        <w:spacing w:after="0" w:line="289" w:lineRule="auto"/>
        <w:rPr>
          <w:sz w:val="20"/>
          <w:szCs w:val="20"/>
          <w:color w:val="auto"/>
        </w:rPr>
      </w:pPr>
      <w:r>
        <w:rPr>
          <w:rFonts w:ascii="Times New Roman" w:cs="Times New Roman" w:eastAsia="Times New Roman" w:hAnsi="Times New Roman"/>
          <w:sz w:val="17"/>
          <w:szCs w:val="17"/>
          <w:color w:val="auto"/>
        </w:rPr>
        <w:t>To understand the terms of the securities offered by this prospectus, you should carefully read this prospectus and any applicable prospectus supplement. You should also read the documents referred to under the heading “Where You Can Find More Information” for information on vTv Therapeutics Inc. and its financial statements. Certain capitalized terms used in this prospectus are defined elsewhere in this prospectus.</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vTv Therapeutics Inc., a Delaware corporation, which is also referred to herein as “</w:t>
      </w:r>
      <w:r>
        <w:rPr>
          <w:rFonts w:ascii="Times New Roman" w:cs="Times New Roman" w:eastAsia="Times New Roman" w:hAnsi="Times New Roman"/>
          <w:sz w:val="18"/>
          <w:szCs w:val="18"/>
          <w:i w:val="1"/>
          <w:iCs w:val="1"/>
          <w:color w:val="auto"/>
        </w:rPr>
        <w:t>vTv Therapeutics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has filed with the U.S. Securities and Exchange Commission, or the SEC, using a “shelf” registration procedure. Under this shelf registration statement, vTv Therapeutics Inc. may offer and sell from time to time any combination of the securities described in this prospectus, with an aggregate initial offering price of up to $250,000,000. Furthermore, in no event will we sell Class A common stock with a value exceeding more than one-third of our “public float” (the market value of our Class A common stock and any other equity securities that we may issue in the future that are held by non-affiliates) in any 12-calendar month period so long as our public float remains below $75.0 million.</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any securities, we will provide you with a prospectus supplement that will describe the specific amounts, prices and terms of the securities being offered. The prospectus supplement may also add, update or change information contained or incorporated by reference in this prospectus. If there is any inconsistency between the information in this prospectus and any prospectus supplement, you should rely on the information in the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vTv Therapeutics files annual, quarterly and current reports, proxy statements and other information with the SEC. You may obtain such SEC filings from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offered. The registration statement, exhibits and schedules are available through the SEC’s website.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this prospectus, we “incorporate by reference” certain information that we file with the SEC, which means that we can disclose important information to you by referring you to that information. The information we incorporate by reference is an important part of this prospectus, and later information that we file with the SEC will automatically update and supersede this information. The following documents have been filed by us with the SEC and are incorporated by reference into this prospectus:</w:t>
      </w:r>
    </w:p>
    <w:p>
      <w:pPr>
        <w:spacing w:after="0" w:line="85"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13,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SEC on </w:t>
      </w:r>
      <w:hyperlink r:id="rId50">
        <w:r>
          <w:rPr>
            <w:rFonts w:ascii="Times New Roman" w:cs="Times New Roman" w:eastAsia="Times New Roman" w:hAnsi="Times New Roman"/>
            <w:sz w:val="18"/>
            <w:szCs w:val="18"/>
            <w:u w:val="single" w:color="auto"/>
            <w:color w:val="0000EE"/>
          </w:rPr>
          <w:t>February 28, 2024</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February 28, 2024</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March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3">
        <w:r>
          <w:rPr>
            <w:rFonts w:ascii="Times New Roman" w:cs="Times New Roman" w:eastAsia="Times New Roman" w:hAnsi="Times New Roman"/>
            <w:sz w:val="18"/>
            <w:szCs w:val="18"/>
            <w:u w:val="single" w:color="auto"/>
            <w:color w:val="0000EE"/>
          </w:rPr>
          <w:t>March 26,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9" w:lineRule="auto"/>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Class A common stock set forth in our registration statement filed on </w:t>
      </w:r>
      <w:hyperlink r:id="rId22">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pursuant to Section 12 of the Exchange Act with the SEC on July 30, 2015, as updated by “Description of Capital Stock” filed as </w:t>
      </w:r>
      <w:hyperlink r:id="rId54">
        <w:r>
          <w:rPr>
            <w:rFonts w:ascii="Times New Roman" w:cs="Times New Roman" w:eastAsia="Times New Roman" w:hAnsi="Times New Roman"/>
            <w:sz w:val="17"/>
            <w:szCs w:val="17"/>
            <w:u w:val="single" w:color="auto"/>
            <w:color w:val="0000EE"/>
          </w:rPr>
          <w:t>Exhibit 4.7</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our Annual Report on Form 10-K for the fiscal year ended December 31, 2023, and any amendment or report filed for the purpose of updating that description.</w:t>
      </w:r>
    </w:p>
    <w:p>
      <w:pPr>
        <w:spacing w:after="0" w:line="158" w:lineRule="exact"/>
        <w:rPr>
          <w:rFonts w:ascii="Times New Roman" w:cs="Times New Roman" w:eastAsia="Times New Roman" w:hAnsi="Times New Roman"/>
          <w:sz w:val="17"/>
          <w:szCs w:val="17"/>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Securities Exchange Act of 1934, as amended (the “Exchange Act”) (i) after the date of the initial filing of the registration statement of which this prospectus forms a part and prior to the effectiveness of the registration statement, or (ii) after the date of this prospectus but prior to the termination of the offering shall be deemed to be incorporated in this prospectus by reference. The information contained on or accessible through our website (</w:t>
      </w:r>
      <w:r>
        <w:rPr>
          <w:rFonts w:ascii="Times New Roman" w:cs="Times New Roman" w:eastAsia="Times New Roman" w:hAnsi="Times New Roman"/>
          <w:sz w:val="18"/>
          <w:szCs w:val="18"/>
          <w:i w:val="1"/>
          <w:iCs w:val="1"/>
          <w:color w:val="auto"/>
        </w:rPr>
        <w:t>http://www.vtvtherapeutics.com</w:t>
      </w:r>
      <w:r>
        <w:rPr>
          <w:rFonts w:ascii="Times New Roman" w:cs="Times New Roman" w:eastAsia="Times New Roman" w:hAnsi="Times New Roman"/>
          <w:sz w:val="18"/>
          <w:szCs w:val="18"/>
          <w:color w:val="auto"/>
        </w:rPr>
        <w:t>) is not incorporated into this prospectus.</w:t>
      </w:r>
    </w:p>
    <w:p>
      <w:pPr>
        <w:spacing w:after="0" w:line="116" w:lineRule="exact"/>
        <w:rPr>
          <w:rFonts w:ascii="Times New Roman" w:cs="Times New Roman" w:eastAsia="Times New Roman" w:hAnsi="Times New Roman"/>
          <w:sz w:val="17"/>
          <w:szCs w:val="17"/>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“Where You Can Find More Information” or, at no cost, by writing or telephoning vTv Therapeutics at the following address:</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vTv Therapeutics Inc.</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3980 Premier Drive, Suite 310</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High Point, NC 27265</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Telephone: (336) 841-0300</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the prospectus supplement, any free writing prospectus that we authorize and any pricing supplement. We have not authorized any person, including any salesman or broker, to provide information other than that provided in this prospectus, any applicable prospectus supplement, any free writing prospectus that we authorize or any pricing supplement. We have not authorized anyone to provide you with different information. We do not take responsibility for, and can provide no assurance as to the reliability of, any information that others may give you. We are not making an offer of the securities in any jurisdiction where the offer is not permitted. You should not assume that the information in this prospectus, any applicable prospectus supplement, any free writing prospectus that we authorize and any pricing supplement or any document incorporated by reference is accurate as of any date other than the date of the applicable document.</w:t>
      </w:r>
    </w:p>
    <w:p>
      <w:pPr>
        <w:spacing w:after="0" w:line="19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any prospectus supplement,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320" w:top="455"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STATEMENTS REGARDING FORWARD-LOOKING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prospectus or in other materials we have filed or will file with the SEC (as well as information included in oral statements or other written statements made or to be made by us) includes forward-looking statements that reflect our plans, estimates, assumptions and beliefs. Our actual results could differ materially from those discussed in the forward-looking statements. Factors that could cause or contribute to these differences include those discussed below and in our Annual Report on Form 10-K for the year ended December 31, 2023 under “Part I – 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made.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are a clinical stage biopharmaceutical company focused on the development of orally administered treatments for metabolic and inflammatory diseases to minimize their long-term complications and improve the lives of patients. On February 27, 2024, we closed a private placement, or the Private Placement, of our Class A common stock and pre-funded warrants, pursuant to which we received aggregate gross proceeds of approximately $51.0 million, before deducting offering expenses payable by us. The securities purchase agreement for the Private Placement, among other things, grants the investors, or the Private Placement Investors, the right to purchase up to an additional $30.0 million of Class A common stock 18 months following the closing of the Private Placement. We anticipate that the financing will enable us to conduct a Phase 3 clinical trial for our lead product candidate, </w:t>
      </w:r>
      <w:r>
        <w:rPr>
          <w:rFonts w:ascii="Times New Roman" w:cs="Times New Roman" w:eastAsia="Times New Roman" w:hAnsi="Times New Roman"/>
          <w:sz w:val="18"/>
          <w:szCs w:val="18"/>
          <w:i w:val="1"/>
          <w:iCs w:val="1"/>
          <w:color w:val="auto"/>
        </w:rPr>
        <w:t>cadisegliatin (TTP399)</w:t>
      </w:r>
      <w:r>
        <w:rPr>
          <w:rFonts w:ascii="Times New Roman" w:cs="Times New Roman" w:eastAsia="Times New Roman" w:hAnsi="Times New Roman"/>
          <w:sz w:val="18"/>
          <w:szCs w:val="18"/>
          <w:color w:val="auto"/>
        </w:rPr>
        <w:t>, an orally administered, small molecule, liver-selective glucokinase activator, or GKA, that is a potential adjunctive therapy to insulin for the treatment of type 1 diabetes.</w:t>
      </w:r>
    </w:p>
    <w:p>
      <w:pPr>
        <w:spacing w:after="0" w:line="19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U.S. Food and Drug Administration, or FDA, granted Breakthrough Therapy designation in 2021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as an adjunctive therapy to insulin for the treatment of type 1 diabetes, or T1D. The Breakthrough Therapy designation provides a sponsor with added support and the potential to expedite development and review timelines for a promising new investigational medicine. The Breakthrough Therapy designation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T1D was supported by the positive results from the Phase 2 SimpliciT-1 Study, a multi-center, randomized, double-blind, adaptive study assessing the safety and efficacy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as an adjunct to insulin therapy in adults with T1D. In this trial, treatment with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resulted in a statistically significant improvement in HbA1c relative to placebo and a clinically meaningful decrease (40%) in the frequency of severe and symptomatic hypoglycemia.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demonstrated a favorable safety profile, in which abnormal levels of serum or urine ketones were detected less frequently in patients taking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than those taking placebo. Moreover, a Phase 1 mechanistic study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patients with T1D conducted to determine the impact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on ketone body formation showed no increased risk of ketoacidosis with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during acute insulin withdrawal in patients with T1D. We have also completed a Phase 1 study in healthy male subjects to investigate the absorption, metabolism, and excretion of [</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following single dose oral administration. Ten participants have been dosed and analysis is ongoing.</w:t>
      </w:r>
    </w:p>
    <w:p>
      <w:pPr>
        <w:spacing w:after="0" w:line="5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May of 2023, the FDA issued new draft guidance on “Diabetes Mellitus: Efficacy Endpoints for Clinical Trials Investigating Antidiabetic Drugs and Biological Products” which, for the first time, permitted the use of hypoglycemia as an endpoint to support a label claim. Consistent with this guidance and with input from the FDA, we have initiated a Phase 3 double-blind, controlled trial to assess the effect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on reducing the frequency of Level 2 hypoglycemia (blood glucose levels are less than 54 mg/dL or 3 mmol/L, regardless of symptoms) and Level 3 hypoglycemia (“severe” hypoglycemia e.g., requiring assistance of another person) in 150 patients with T1D. Participants in the trial will be randomized to two doses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or placebo. Reduction in glycated hemoglobin (HbA1c), a traditional efficacy endpoint in diabetes trials, is a key secondary endpoint to assess the potential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to reduce hyperglycemia, Following the initial assessment of efficacy after six months of treatment, participants will remain on trial for another six months to assess the durability of potential beneficial effects and safety. The study protocol was submitted to the FDA on February 29, 2024. The trial will be conducted in the U.S. only and is expected to complete enrollment by the fourth quarter in 2024 providing top line 1-year data by the first quarter in 2026.</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 filings incorporated by reference in this prospectus, see “Where You Can Find More Information.”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principal executive office is located at 3980 Premier Drive, Suite 310, High Point, NC 27265, Telephone (336) 841-0300.</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may offer shares of our Class A common stock and preferred stock, various series of debt securities, warrants and rights to purchase shares of Class A common stock or preferred stock, debt securities or units, as well as units to purchase any of such securities, from time to time under this prospectus, together with any applicable prospectus supplement and related free writing prospectus, at prices and on terms to be determined by market conditions at the time of offering. This prospectus provides you with a general description of the securities we may offer. Each time we offer a type or series of securities, we will provide a prospectus supplement that will describe the specific amounts, prices and other important terms of the securities, including, to the extent applicable:</w:t>
      </w:r>
    </w:p>
    <w:p>
      <w:pPr>
        <w:spacing w:after="0" w:line="93" w:lineRule="exact"/>
        <w:rPr>
          <w:sz w:val="20"/>
          <w:szCs w:val="20"/>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 if any;</w:t>
      </w:r>
    </w:p>
    <w:p>
      <w:pPr>
        <w:spacing w:after="0" w:line="130"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it is accompanied by a prospectus supplement. The prospectus supplement and any related free writing prospectus that we may authorize to be provided to you may also add, update or change information contained in this prospectus or in documents we have incorporated by reference into this prospectus. However, no prospectus supplement or free writing prospectus will offer a security that is not registered and described in this prospectus at the time of the effectiveness of the registration statement of which this prospectus is a part.</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offer shares of our Class A common stock, par value $0.01 per share, either alone or underlying other registered securities convertible into or exercisable for our Class A common stock. Holders of our Class A common stock are entitled to dividends as our board of directors may declare from time to time out of legally available funds, subject to the preferential rights of the holders of any shares of our preferred stock that we may issue in the future. Currently, we do not pay any dividends and we do not have any issued and outstanding preferred stock. Each holder of our Class A common stock is entitled to one vote per share. In this prospectus, we provide a general description of, among other things, the rights and restrictions that apply to holders of our common stock. Our common stock is described in greater detail in this prospectus under “Description of Capital Stock—Common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shares of preferred stock in one or more classes or series. Our board of directors or a committee designated by our board of directors will determine the dividend, voting and conversion rights and other provisions at the time of sale. The particular terms of each class or series of preferred stock, including redemption privileges, liquidation preferences, voting rights, dividend rights and/or conversion rights, will be more fully described in the applicable prospectus supplement relating to the preferred stock offered thereby. Our preferred stock is described in greater detail in this prospectus under “Description of Capital Stock—Preferred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offer debt securities from time to time, in one or more series, as either senior or subordinated debt or as senior or subordinated convertible debt. The senior debt securities will rank equally with any other unsubordinated debt that we may have and may be secured or unsecured. The subordinated debt securities will be subordinate and junior in right of payment, to the extent and in the manner described in the instrument governing the debt, to all or some portion of our indebtedness. Any convertible debt securities that we issue will be convertible into or exchangeable for our common stock or other securities of ours. Conversion may be mandatory or at the holder’s option and would be at prescribed conversion rates.</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debt securities will be issued under one or more documents called indentures, which are contracts between us and a trustee for the holders of the debt securities. In this prospectus, we have summarized certain general features of the debt securities under “Description of Debt Securities.” We urge you, however, to read the prospectus supplements and any free writing prospectus that we may authorize to be provided to you related to the series of debt securities being offered, as well as the complete indentures that contain the terms of the debt securities. A form of an indenture has been filed as an exhibit to the registration statement of which this prospectus is a part, and supplemental indentures and forms of debt securities containing the terms of debt securities being offered will be incorporated by reference into the registration statement of which this prospectus is apart from reports we file with the SEC.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from time to time offer warrants for the purchase of our common stock, preferred stock and/or debt securities in one or more series. We may issue warrants independently or together with common stock, preferred stock and/or debt securities, and the warrants may be attached to or separate from those securities.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warrants will be evidenced by warrant certificates issued under one or more warrant agreements, which are contracts between us and an agent for the holders of the warrants. In this prospectus, we have summarized certain general features of the warrants under “Description of Warrants.” We urge you, however, to read the prospectus supplements and any free writing prospectus that we may authorize to be provided to you related to the series of warrants being offered, as well as the complete warrant agreements and warrant certificates that contain the terms of the warrants. Specific warrant agreements will contain additional important terms and provisions and will be incorporated by reference as an exhibit to the registration statement which includes this prospectus.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may from time to time issue rights to purchase shares of our common stock or preferred stock, debt securities or units. The rights may be issued independently or together with other securities and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make available a prospectus supplement to our stockholders on or about the record date that we set for receiving rights in such rights offering.</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we have summarized certain general features of the rights under “Description of Rights.” We urge you, however, to read the prospectus supplements and any free writing prospectus that we may authorize to be provided to you related to the series of rights being offered.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offer units consisting of common stock, preferred stock, debt securities and/or warrants to purchase any of such securities in one or more series. In this prospectus, we have summarized certain general features of the units under “Description of Units.” We urge you, however, to read the prospectus supplements and any free writing prospectus that we may authorize to be provided to you related to the series of units being offered, as well as the unit agreements that contain the terms of the units. We will file as exhibits to the registration statement of which this prospectus is a part, or will incorporate by reference from a current report on Form 8-K that we file with the SEC, the form of unit agreement and any supplemental agreements that describe the terms of the series of units we are offering before the issuance of the related series of units.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units by unit certificates that we will issue under a separate agreement. We will enter into the unit agreements with a unit agent. Each unit agent will be a bank or trust company that we select. We will indicate the name and address of the unit agent in the applicable prospectus supplement relating to a particular series of units.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risk. You should carefully consider the specific risks discussed or incorporated by reference in the applicable prospectus supplement, together with all the other information contained in any applicable prospectus supplement or incorporated by reference in this prospectus and the applicable prospectus supplement. You should also consider the risks, uncertainties and assumptions discussed under the caption “Part I — Item 1A, Risk Factors” included in our Annual Report on Form 10-K for the year ended December 31, 2023, which are incorporated by reference in this prospectus, and which may be amended, supplemented or superseded from time to time by other reports we file with the SEC in the future.</w:t>
      </w:r>
    </w:p>
    <w:p>
      <w:pPr>
        <w:spacing w:after="0" w:line="1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We will use the net proceeds we receive from the sale of the securities offered by us for general corporate purposes, unless we specify otherwise in the applicable prospectus supplement. General corporate purposes may include additions to working capital, capital expenditures, or repayment of debt.</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Class A common stock, par value $0.01 per share, 100,000,000 shares of Class B common stock, par value $0.01 per share, and 50,000,000 shares of preferred stock, par value $0.01 per share. As of April 10, 2024, we have approximately 2,432,857 shares of our Class A common stock outstanding, 577,349 shares of our Class B common stock outstanding and no shares of preferred stock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our Class A common stock and Class B common stock are entitled to one vote for each share held on all matters submitted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for their vote or approval. The holders of our Class A common stock and Class B common stock vote together as a single class on all matters submitted to stockholders for their vote or approval, except with respect to the amendment of certain provisions of our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w:t>
      </w:r>
    </w:p>
    <w:p>
      <w:pPr>
        <w:spacing w:after="0" w:line="182"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Class A common stock are entitled to receive dividends when, as, and if declared by our Board of Directors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legally available funds. The holders of our Class B common stock do not have any right to receive dividends other than dividends consisting of shares of our Class B common stock paid proportionally with respect to each outstanding share of our Class B common stock.</w:t>
      </w:r>
    </w:p>
    <w:p>
      <w:pPr>
        <w:spacing w:after="0" w:line="17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Liquidation or Dissolution</w:t>
      </w:r>
      <w:r>
        <w:rPr>
          <w:rFonts w:ascii="Times New Roman" w:cs="Times New Roman" w:eastAsia="Times New Roman" w:hAnsi="Times New Roman"/>
          <w:sz w:val="18"/>
          <w:szCs w:val="18"/>
          <w:color w:val="auto"/>
        </w:rPr>
        <w:t>. Upon our liquidation or dissolution, the holders of our Class A common stock are entitled to share ratably in those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assets that are legally available for distribution to stockholders after payment of liabilities and subject to the prior rights of any holders of preferred stock then outstanding. Other than their par value, the holders of our Class B common stock do not have any right to receive a distribution upon a liquidation or dissolution of our company.</w:t>
      </w:r>
    </w:p>
    <w:p>
      <w:pPr>
        <w:spacing w:after="0" w:line="180"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Transferability and Exchange</w:t>
      </w:r>
      <w:r>
        <w:rPr>
          <w:rFonts w:ascii="Times New Roman" w:cs="Times New Roman" w:eastAsia="Times New Roman" w:hAnsi="Times New Roman"/>
          <w:sz w:val="17"/>
          <w:szCs w:val="17"/>
          <w:color w:val="auto"/>
        </w:rPr>
        <w:t>. Subject to the terms of an exchange agreement and the operating agreement of vTv Therapeutics LLC, or vTv LLC,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principal operating subsidiary, units of vTv LLC (along with a corresponding number of shares of our Class B common stock) are exchangeable for</w:t>
      </w:r>
    </w:p>
    <w:p>
      <w:pPr>
        <w:spacing w:after="0" w:line="1" w:lineRule="exact"/>
        <w:rPr>
          <w:sz w:val="20"/>
          <w:szCs w:val="20"/>
          <w:color w:val="auto"/>
        </w:rPr>
      </w:pPr>
    </w:p>
    <w:p>
      <w:pPr>
        <w:ind w:left="120" w:right="140" w:hanging="4"/>
        <w:spacing w:after="0" w:line="253"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Class A common stock or (ii) cash (based on the market price of the shares of Class A common stock), at our option (as the managing member of vTv LLC). Any decision to require an exchange for cash rather than shares of Class A common stock will ultimately be determined by our entire Board of Directors. Each such exchange will be on a one-for-one equivalent basis, subject to customary conversion rate adjustments for stock splits, stock dividends and reclassifications. Shares of Class B common stock may not be transferred except in connection with an exchange or transfer of units of vTv LLC.</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exchange, each share of our Class B common stock will be cancelled.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We have been authorized to issue up to 50,000,000 shares of preferred stock. Our board of directors has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has also been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Class A common stock and Class B common stock, which could have an adverse impact on the market price of our Class A common stock. We have no current plan to issue any shares of preferred stock.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the doctrine of “corporate opportunity” will not apply to MacAndrews &amp; Forbes Incorporated, or MacAndrews, any of our non-employee directors who are employees, affiliates or consultants of MacAndrews or its affiliates (other than us or our subsidiaries) or any of their respective affiliates in a manner that would prohibit them from investing in competing businesses or doing business with our clients or customers. See “Risk Factors — Risks Related to our Common Stock — Affiliates of MacAndrews &amp; Forbes Incorporated (together with its affiliates “MacAndrews”) has substantial influence over our business, and their interests may differ from our interests or those of our other stockholders” in our Annual Report on Form 10-K for the year ended December 31, 2023, which is incorporated herein by reference.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w:t>
      </w:r>
    </w:p>
    <w:p>
      <w:pPr>
        <w:spacing w:after="0" w:line="121"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us unless such takeover or change in control is approved by our Board of Directors.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Action by Written Consent; Special Meetings of Stockholders</w:t>
      </w:r>
      <w:r>
        <w:rPr>
          <w:rFonts w:ascii="Times New Roman" w:cs="Times New Roman" w:eastAsia="Times New Roman" w:hAnsi="Times New Roman"/>
          <w:sz w:val="18"/>
          <w:szCs w:val="18"/>
          <w:color w:val="auto"/>
        </w:rPr>
        <w:t>. Our amended and restated certificate of incorporation provides that,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on which MacAndrews ceases to beneficially own more than 50% of our common stock (the “Triggering Event”), stockholder action can be taken only at an annual or special meeting of stockholders and cannot be taken by written consent in lieu of a meeting. Our amended and restated certificate of incorporation and bylaws also provide that, except as otherwise required by law, special meetings of the stockholders can only be called by the chairman or vice-chairman of the board, the chief executive officer, or pursuant to a resolution adopted by a majority of the Board of Directors or, until the Triggering Event, at the request of holders of 50% or more of our outstanding shares of common stock. Except as described above, stockholders will not be permitted to call a special meeting or to require the Board of Directors to call a special meeting.</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Advance Notice Procedures</w:t>
      </w:r>
      <w:r>
        <w:rPr>
          <w:rFonts w:ascii="Times New Roman" w:cs="Times New Roman" w:eastAsia="Times New Roman" w:hAnsi="Times New Roman"/>
          <w:sz w:val="18"/>
          <w:szCs w:val="18"/>
          <w:color w:val="auto"/>
        </w:rPr>
        <w:t>. Our bylaws establish an advance notice procedure for stockholder proposals to be brought before an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Vacancies and Newly-Created Directorships on the Board of Directors. </w:t>
      </w:r>
      <w:r>
        <w:rPr>
          <w:rFonts w:ascii="Times New Roman" w:cs="Times New Roman" w:eastAsia="Times New Roman" w:hAnsi="Times New Roman"/>
          <w:sz w:val="18"/>
          <w:szCs w:val="18"/>
          <w:color w:val="auto"/>
        </w:rPr>
        <w:t>Our bylaws provide that, subject to certain contractual rights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MacAndrews and the contractual rights to designate Board of Director nominees held by the Private Placement Investors, the Board of Directors can fill vacancies on the Board of Directors. In addition, the Board of Directors will be permitted to increase the number of directors and fill the vacant positions. These provisions could make it more difficult for shareholders to affect the composition of our Board of Directors.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Our authorized but unissued shares of common stock and preferred stock will be available for future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r>
        <w:rPr>
          <w:rFonts w:ascii="Times New Roman" w:cs="Times New Roman" w:eastAsia="Times New Roman" w:hAnsi="Times New Roman"/>
          <w:sz w:val="18"/>
          <w:szCs w:val="18"/>
          <w:color w:val="auto"/>
        </w:rPr>
        <w:t>. We have elected in our amended and restated certificate of incorporation not to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contains provisions that have the same effect as Section 203, except that they provide that MacAndrews and its various affiliates, successors and transferees will not be deemed to be “interested stockholders,” regardless of the percentage of our voting stock owned by them, and accordingly will not be subject to such restrictions. Further, our Board of Directors resolved that the Private Placement was approved for purposes of the relevant provisions of our amended and restated certificate of incorporation and shall be deemed exempted from any anti-takeover, business combination or control share law or statute binding on us or which could reasonably be expected to become applicable to the Private Placement Investors as a result of the Private Placement. Additionally, the securities purchase agreement for the Private Placement provides that we will not enter into any sale, merger, consolidation, share exchange or similar business combination transaction without the affirmative vote of at least five members of our Board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in the State of Delaware will be the sole and exclusive forum for (i) any derivative action or proceeding brought on our behalf, (ii) any action asserting a claim of breach of a fiduciary duty owed to us or our stockholders by our directors, officers or other employees, (iii) any action asserting a claim arising under the Delaware General Corporation Law, our amended and restated certificate of incorporation and amended and restated by-laws or (iv) any action asserting a claim that is governed by the internal affairs doctrine. It is possible that a court could rule that this provision is not applicable or is unenforceable. We may consent in writing to alternative forums. Stockholders will be deemed to have consented to the personal jurisdiction of the state and federal courts located within the State of Delaware and having service of process made on such stockholder’s counsel as agent for such stockholder.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Liability; Indemnification of Directors and Officers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liability of our directors to the fullest extent permitted by the Delaware General Corporation Law and provides that we will provide them with customary indemnification. We expect to enter into customary indemnification agreements with each of our executive officers and directors that provide them, in general, with customary indemnification in connection with their service to us or on our behalf.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shares of Class A common stock are listed on The Nasdaq Capital Market under the symbol “VTVT”.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As of the date of this prospectus, we have no outstanding registered debt securities. Unless the context requires otherwise, whenever we refer to the “indenture,” we also are referring to any supplemental indentures that specify the terms of a particular series of debt securities.</w:t>
      </w:r>
    </w:p>
    <w:p>
      <w:pPr>
        <w:spacing w:after="0" w:line="192"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may offer senior debt securities or subordinated debt securities under the indenture and any supplemental indentures that we will enter into with the trustee named in the indenture. We have filed a form of the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will be qualified under the Trust Indenture Act of 1939, as amended (the “Trust Indenture Act”).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summaries of material provisions of the indenture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85"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all or substantially all of our assets. However, any successor to or acquirer of such assets must assume all of our obligations under the indenture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the indenture shall occur and be continuing, the trustee will be under no obligation to exercise any of its rights or powers under the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3"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 the trustee will be entitled to indemnification against all costs, expenses and liabilities that would be incurred by taking or not taking such action.</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or to be incurred in compliance with instituting the proceeding as trustee;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5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the indenture without the consent of any holders with respect to the following specific matters:</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and to make all appropriate changes for such purpose;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However, subject to the terms of the indenture for any series of debt securities that we may issue or otherwise provided in the prospectus supplement applicable to a particular series of debt securities, we and the trustee may only make the following changes with the consent of each holder of any outstanding debt securities affected:</w:t>
      </w:r>
    </w:p>
    <w:p>
      <w:pPr>
        <w:spacing w:after="0" w:line="81" w:lineRule="exact"/>
        <w:rPr>
          <w:sz w:val="20"/>
          <w:szCs w:val="20"/>
          <w:color w:val="auto"/>
        </w:rPr>
      </w:pPr>
    </w:p>
    <w:p>
      <w:pPr>
        <w:jc w:val="right"/>
        <w:ind w:left="5540" w:right="5400" w:hanging="4884"/>
        <w:spacing w:after="0" w:line="367" w:lineRule="auto"/>
        <w:tabs>
          <w:tab w:leader="none" w:pos="109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extending the fixed maturity of any debt securities of any series; 17</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jc w:val="both"/>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The indenture may provide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8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we will issue the debt securities of each series only in fully registered form without coupons and, unless we otherwise specify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 To the extent the debt securities of a series are issued in global form and as book-entry, a description of terms related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ind w:left="1080" w:right="2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the indenture, undertakes to perform only those duties as are specifically set forth in the indenture and is under no obligation to exercise any of the powers given it by the indenture at the request of any holder of debt securities unless it is offered reasonable security and indemnity against the costs, expenses and liabilities that it might incur. However, upon an event of default under the indenture, the trustee must use the same degree of care as a prudent person would exercise or use in the conduct of his or her own affairs.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 except to the extent that the Trust Indenture Act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Debt Securities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subordinated debt securities that we may offer will be unsecured and will be subordinate and junior in priority of payment to certain other indebtedness to the extent described in a prospectus supplement.</w:t>
      </w:r>
    </w:p>
    <w:p>
      <w:pPr>
        <w:spacing w:after="0" w:line="162" w:lineRule="exact"/>
        <w:rPr>
          <w:sz w:val="20"/>
          <w:szCs w:val="20"/>
          <w:color w:val="auto"/>
        </w:rPr>
      </w:pPr>
    </w:p>
    <w:p>
      <w:pPr>
        <w:jc w:val="center"/>
        <w:ind w:left="560" w:right="320"/>
        <w:spacing w:after="0" w:line="454" w:lineRule="auto"/>
        <w:rPr>
          <w:sz w:val="20"/>
          <w:szCs w:val="20"/>
          <w:color w:val="auto"/>
        </w:rPr>
      </w:pPr>
      <w:r>
        <w:rPr>
          <w:rFonts w:ascii="Times New Roman" w:cs="Times New Roman" w:eastAsia="Times New Roman" w:hAnsi="Times New Roman"/>
          <w:sz w:val="18"/>
          <w:szCs w:val="18"/>
          <w:color w:val="auto"/>
        </w:rPr>
        <w:t>The senior debt securities that we may offer will be unsecured and will rank equally in right of payment to all our other senior unsecured debt. 19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the form of warrant agreement, if any, including a form of warrant certificate, if any, that describes the terms of the particular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and warrant certificate applicable to a particular series of warrants. We urge you to read the applicable prospectus supplement and any applicable free writing prospectus related to the particular series of warrants that we sell under this prospectus, as well as the complete warrant agreements and warrant certificates that contain the terms of the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relating to a series of warrants, including:</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and exercise price or prices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the exercise of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or agreement representing the warrants to be exercised together with specified information, and paying the required amount to the warrant agent in immediately available funds, as provided in the applicable prospectus supplement. We will set forth on the reverse side of the warrant certificate or agreement and in the applicable prospectus supplement the information that the holder of the warrant will be required to deliver to the warrant agent.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or agreement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or agreement are exercised, then we will issue a new warrant certificate or agreement for the remaining amount of warrants. If we so indicate in the applicable prospectus supplement, holders of the warrants may surrender securities as all or part of the exercise price for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rights we may issue, including some or all of the following:</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the rights;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or a formula for the determination of the subscription price for the rights and the currency or currencies in which the subscription price may be payable;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rights are issued and the number of rights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the rights issued to each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debt securities, the principal amount of debt securities purchasable upon exercise of one right;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common stock or preferred stock, the type of stock and number of shares of stock purchasable upon exercise of one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(subject to any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rights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include an over-subscription privilege with respect to unsubscribed securities;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the rights of any merger, consolidation, sale or other disposition of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backstop or other purchase arrangement that we may enter into in connection with the rights offering;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exchange and exercise of the rights.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Rights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3"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64"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debt securities, shares of common stock, shares of preferred stock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w:t>
      </w:r>
    </w:p>
    <w:p>
      <w:pPr>
        <w:spacing w:after="0" w:line="131" w:lineRule="exact"/>
        <w:rPr>
          <w:sz w:val="20"/>
          <w:szCs w:val="20"/>
          <w:color w:val="auto"/>
        </w:rPr>
      </w:pPr>
    </w:p>
    <w:p>
      <w:pPr>
        <w:ind w:left="1080" w:right="3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provisions described in this section, as well as those described under “Description of Capital Stock,” “Description of Debt Securities” and “Description of Warrants” will apply to each unit and to any common stock, preferred stock, debt security or warrant included in each unit,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units in such amounts and in numerous distinct series as we determine.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spacing w:after="0" w:line="7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40"/>
          </w:cols>
          <w:pgMar w:left="320" w:top="455" w:right="7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offer and sell the securities in any one or more of the following ways:</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other purchasers;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into an existing trading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on a best-efforts basis;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through a combination of any of the above methods of sale.</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enter into option, share lending or other types of transactions that require us to deliver securities to an underwriter, broker or dealer, who will then resell or transfer the securities under this prospectus. We may also enter into hedging transactions with respect to our securities. For example, we may:</w:t>
      </w:r>
    </w:p>
    <w:p>
      <w:pPr>
        <w:spacing w:after="0" w:line="8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involving short sales of the securities by underwriters,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securities short and deliver the shares to close out short positions;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types of transactions that require us to deliver securities to an underwriter, broker or dealer, who will then resell or transfer the securities under this prospectus;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the securities to an underwriter, broker or dealer, who may sell the loaned shares or, in the event of default, sell the pledged shares.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Each time we sell any securities described in this prospectus, we will provide a prospectus supplement that will name any underwriter, dealer or agent involved in the offer and sale of the securities. The prospectus supplement will also set forth the terms of the offering, including:</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5540" w:right="1860" w:hanging="4884"/>
        <w:spacing w:after="0" w:line="454" w:lineRule="auto"/>
        <w:tabs>
          <w:tab w:leader="none" w:pos="10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or purchase price and any discounts or commissions allowed or re-allowed or paid to dealers; 27</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allowed or paid to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distribution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agreement, arrangement or understanding entered into with the underwriters, brokers or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The securities may be sold from time to time by us in one or more transactions:</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sales may be effected:</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on any national securities exchange or quotation service on which the securities may be listed or quoted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the over-the-counter market;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other types of transactions.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directly by us or through agents designated by us from time to time. Any agent involved in the offer or sale of the securities in respect of which this prospectus is delivered will be named, and any commissions payable by us to such agent will be set forth in, the applicable prospectus supplement. Unless otherwise indicated in the applicable prospectus supplement, any such agent will be acting on a best efforts basis for the period of its appointment.</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40"/>
          </w:cols>
          <w:pgMar w:left="320" w:top="455"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Offers to purchase the securities offered by this prospectus may be solicited, and sales of the securities may be made, by us directly to institutional investors or others, who may be deemed to be underwriters within the meaning of the Securities Act with respect to any resale of the securities. The terms of any offer made in this manner will be included in the prospectus supplement relating to the offer.</w:t>
      </w:r>
    </w:p>
    <w:p>
      <w:pPr>
        <w:spacing w:after="0" w:line="176"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8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charitable institutions.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all cases, these purchasers must be approved by us. Unless otherwise set forth in the applicable prospectus supplement, the obligations of any purchaser under any of these contracts will not be subject to any conditions except that (a) the purchase of the securities stock must not at the time of delivery be prohibited under the laws of any jurisdiction to which that purchaser is subject, and (b) if the securities is also being sold to underwriters, we must have sold to these underwriters the securities not subject to delayed delivery. Underwriters and other agents will not have any responsibility in respect of the validity or performance of these contracts.</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Some of the underwriters, dealers or agents used by us in any offering of securities under this prospectus may be customers of, engage in transactions with, and perform services for us, or affiliates of ours, in the ordinary course of business. Underwriters, dealers, agents and other persons may be entitled under agreements which may be entered into with us to indemnification against and contribution toward certain civil liabilities, including liabilities under the Securities Act, and to be reimbursed by us for certain expenses.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securities initially sold outside the United States may be resold in the United States through underwriters, dealers or otherwise.</w:t>
      </w:r>
    </w:p>
    <w:p>
      <w:pPr>
        <w:spacing w:after="0" w:line="225"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Any underwriters to which offered securities is sold by us for public offering and sale may make a market in such securities, but those underwriters will not be obligated to do so and may discontinue any market making at any time.</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the securities offered by this prospectus will be described in the applicable prospectus supplement relating to the offering.</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General Instruction I.B.6 of Form S-3, in no event will we sell securities in a public primary offering with a value exceeding more than one-third of our public float in any 12-month period so long as our public float remains below $75.0 million.</w:t>
      </w:r>
    </w:p>
    <w:p>
      <w:pPr>
        <w:spacing w:after="0" w:line="162"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legal matters in connection with the offered securities will be passed upon for us by Dechert LLP, New York, New York.</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vTv Therapeutics Inc. appearing in vTv Therapeutics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9"/>
          <w:szCs w:val="29"/>
          <w:b w:val="1"/>
          <w:bCs w:val="1"/>
          <w:color w:val="auto"/>
        </w:rPr>
        <w:t>Up to $47,500,000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344170</wp:posOffset>
            </wp:positionV>
            <wp:extent cx="1320165" cy="1045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132016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405765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jpe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jpe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17" Type="http://schemas.openxmlformats.org/officeDocument/2006/relationships/hyperlink" Target="http://www.sec.gov/ix?doc=/Archives/edgar/data/0001641489/000164148926000012/vtvt-20260310.htm" TargetMode="External"/><Relationship Id="rId18" Type="http://schemas.openxmlformats.org/officeDocument/2006/relationships/hyperlink" Target="http://www.sec.gov/ix?doc=/Archives/edgar/data/0001641489/000164148926000015/vtvt-20260428.htm" TargetMode="External"/><Relationship Id="rId19" Type="http://schemas.openxmlformats.org/officeDocument/2006/relationships/hyperlink" Target="http://www.sec.gov/ix?doc=/Archives/edgar/data/0001641489/000164148926000020/vtvt-20260331.htm" TargetMode="External"/><Relationship Id="rId20" Type="http://schemas.openxmlformats.org/officeDocument/2006/relationships/hyperlink" Target="http://www.sec.gov/ix?doc=/Archives/edgar/data/0001641489/000164148926000002/vtvt-20260130.htm" TargetMode="External"/><Relationship Id="rId21" Type="http://schemas.openxmlformats.org/officeDocument/2006/relationships/hyperlink" Target="http://www.sec.gov/ix?doc=/Archives/edgar/data/0001641489/000164148926000019/vtvt-20260513.htm" TargetMode="External"/><Relationship Id="rId22" Type="http://schemas.openxmlformats.org/officeDocument/2006/relationships/hyperlink" Target="http://www.sec.gov/Archives/edgar/data/1641489/000156761915001001/s000971x10_8a12b.htm" TargetMode="External"/><Relationship Id="rId23" Type="http://schemas.openxmlformats.org/officeDocument/2006/relationships/hyperlink" Target="http://www.sec.gov/Archives/edgar/data/1641489/000164148926000010/vtvt-20251231exx46descript.htm" TargetMode="External"/><Relationship Id="rId49" Type="http://schemas.openxmlformats.org/officeDocument/2006/relationships/hyperlink" Target="http://www.sec.gov/ix?doc=/Archives/edgar/data/1641489/000164148924000012/vtvt-20231231.htm" TargetMode="External"/><Relationship Id="rId50" Type="http://schemas.openxmlformats.org/officeDocument/2006/relationships/hyperlink" Target="http://www.sec.gov/ix?doc=/Archives/edgar/data/1641489/000119312524049260/d754681d8k.htm" TargetMode="External"/><Relationship Id="rId51" Type="http://schemas.openxmlformats.org/officeDocument/2006/relationships/hyperlink" Target="http://www.sec.gov/ix?doc=/Archives/edgar/data/1641489/000119312524049499/d766950d8k.htm" TargetMode="External"/><Relationship Id="rId52" Type="http://schemas.openxmlformats.org/officeDocument/2006/relationships/hyperlink" Target="http://www.sec.gov/ix?doc=/Archives/edgar/data/1641489/000164148924000014/vtvt-20240313.htm" TargetMode="External"/><Relationship Id="rId53" Type="http://schemas.openxmlformats.org/officeDocument/2006/relationships/hyperlink" Target="http://www.sec.gov/ix?doc=/Archives/edgar/data/1641489/000164148924000020/vtvt-20240325.htm" TargetMode="External"/><Relationship Id="rId54" Type="http://schemas.openxmlformats.org/officeDocument/2006/relationships/hyperlink" Target="http://www.sec.gov/Archives/edgar/data/1641489/000164148924000012/vtvt-20231231exx46descrip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2026-05-13T16:36:32Z</dcterms:created>
  <dcterms:modified xsi:type="dcterms:W3CDTF">2026-05-13T16:36:32Z</dcterms:modified>
</cp:coreProperties>
</file>